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5CF17" w14:textId="45065243" w:rsidR="008B2237" w:rsidRPr="004F3C6A" w:rsidRDefault="008B2237" w:rsidP="004F3C6A">
      <w:pPr>
        <w:spacing w:before="240" w:after="240"/>
        <w:jc w:val="center"/>
        <w:rPr>
          <w:rFonts w:ascii="Garamond" w:hAnsi="Garamond" w:cs="Calibri"/>
          <w:sz w:val="32"/>
          <w:szCs w:val="32"/>
        </w:rPr>
      </w:pPr>
      <w:r w:rsidRPr="004F3C6A">
        <w:rPr>
          <w:rFonts w:ascii="Garamond" w:hAnsi="Garamond" w:cs="Calibri"/>
          <w:b/>
          <w:bCs/>
          <w:sz w:val="32"/>
          <w:szCs w:val="32"/>
        </w:rPr>
        <w:t xml:space="preserve">Communiqué de presse </w:t>
      </w:r>
      <w:r w:rsidRPr="004F3C6A">
        <w:rPr>
          <w:rFonts w:ascii="Garamond" w:hAnsi="Garamond" w:cs="Calibri"/>
          <w:b/>
          <w:bCs/>
          <w:sz w:val="32"/>
          <w:szCs w:val="32"/>
        </w:rPr>
        <w:br/>
        <w:t xml:space="preserve">Rabat, le </w:t>
      </w:r>
      <w:r w:rsidR="00CF4276">
        <w:rPr>
          <w:rFonts w:ascii="Garamond" w:hAnsi="Garamond" w:cs="Calibri"/>
          <w:b/>
          <w:bCs/>
          <w:sz w:val="32"/>
          <w:szCs w:val="32"/>
        </w:rPr>
        <w:t>0</w:t>
      </w:r>
      <w:r w:rsidR="00DF016F">
        <w:rPr>
          <w:rFonts w:ascii="Garamond" w:hAnsi="Garamond" w:cs="Calibri"/>
          <w:b/>
          <w:bCs/>
          <w:sz w:val="32"/>
          <w:szCs w:val="32"/>
        </w:rPr>
        <w:t>3</w:t>
      </w:r>
      <w:r w:rsidR="00CF4276">
        <w:rPr>
          <w:rFonts w:ascii="Garamond" w:hAnsi="Garamond" w:cs="Calibri"/>
          <w:b/>
          <w:bCs/>
          <w:sz w:val="32"/>
          <w:szCs w:val="32"/>
        </w:rPr>
        <w:t xml:space="preserve"> avril</w:t>
      </w:r>
      <w:r w:rsidRPr="004F3C6A">
        <w:rPr>
          <w:rFonts w:ascii="Garamond" w:hAnsi="Garamond" w:cs="Calibri"/>
          <w:b/>
          <w:bCs/>
          <w:sz w:val="32"/>
          <w:szCs w:val="32"/>
        </w:rPr>
        <w:t xml:space="preserve"> 2026</w:t>
      </w:r>
    </w:p>
    <w:p w14:paraId="71F67E84" w14:textId="77777777" w:rsidR="008B2237" w:rsidRPr="00A90FC5" w:rsidRDefault="008B2237" w:rsidP="004F3C6A">
      <w:pPr>
        <w:spacing w:before="240" w:after="240"/>
        <w:jc w:val="center"/>
        <w:rPr>
          <w:rFonts w:ascii="Garamond" w:hAnsi="Garamond" w:cs="Calibri"/>
          <w:sz w:val="26"/>
          <w:szCs w:val="26"/>
        </w:rPr>
      </w:pPr>
      <w:r w:rsidRPr="00A90FC5">
        <w:rPr>
          <w:rFonts w:ascii="Garamond" w:hAnsi="Garamond" w:cs="Calibri"/>
          <w:b/>
          <w:bCs/>
          <w:sz w:val="26"/>
          <w:szCs w:val="26"/>
        </w:rPr>
        <w:t xml:space="preserve">Lancement du "Oxford </w:t>
      </w:r>
      <w:proofErr w:type="spellStart"/>
      <w:r w:rsidRPr="00A90FC5">
        <w:rPr>
          <w:rFonts w:ascii="Garamond" w:hAnsi="Garamond" w:cs="Calibri"/>
          <w:b/>
          <w:bCs/>
          <w:sz w:val="26"/>
          <w:szCs w:val="26"/>
        </w:rPr>
        <w:t>Handbook</w:t>
      </w:r>
      <w:proofErr w:type="spellEnd"/>
      <w:r w:rsidRPr="00A90FC5">
        <w:rPr>
          <w:rFonts w:ascii="Garamond" w:hAnsi="Garamond" w:cs="Calibri"/>
          <w:b/>
          <w:bCs/>
          <w:sz w:val="26"/>
          <w:szCs w:val="26"/>
        </w:rPr>
        <w:t xml:space="preserve"> of the </w:t>
      </w:r>
      <w:proofErr w:type="spellStart"/>
      <w:r w:rsidRPr="00A90FC5">
        <w:rPr>
          <w:rFonts w:ascii="Garamond" w:hAnsi="Garamond" w:cs="Calibri"/>
          <w:b/>
          <w:bCs/>
          <w:sz w:val="26"/>
          <w:szCs w:val="26"/>
        </w:rPr>
        <w:t>Moroccan</w:t>
      </w:r>
      <w:proofErr w:type="spellEnd"/>
      <w:r w:rsidRPr="00A90FC5">
        <w:rPr>
          <w:rFonts w:ascii="Garamond" w:hAnsi="Garamond" w:cs="Calibri"/>
          <w:b/>
          <w:bCs/>
          <w:sz w:val="26"/>
          <w:szCs w:val="26"/>
        </w:rPr>
        <w:t xml:space="preserve"> Economy" : Un ouvrage de référence pour comprendre la transformation économique du Maroc</w:t>
      </w:r>
    </w:p>
    <w:p w14:paraId="5DA07E67" w14:textId="77777777" w:rsidR="00A90FC5" w:rsidRDefault="00A90FC5" w:rsidP="006347D3">
      <w:pPr>
        <w:jc w:val="both"/>
        <w:rPr>
          <w:rFonts w:ascii="Garamond" w:hAnsi="Garamond" w:cs="Calibri"/>
          <w:sz w:val="24"/>
          <w:szCs w:val="24"/>
        </w:rPr>
      </w:pPr>
    </w:p>
    <w:p w14:paraId="2762D79E" w14:textId="713D1FC6" w:rsidR="000D44FE" w:rsidRPr="006347D3" w:rsidRDefault="00136C4B" w:rsidP="006347D3">
      <w:pPr>
        <w:jc w:val="both"/>
        <w:rPr>
          <w:rFonts w:ascii="Garamond" w:hAnsi="Garamond" w:cs="Calibri"/>
          <w:sz w:val="24"/>
          <w:szCs w:val="24"/>
        </w:rPr>
      </w:pPr>
      <w:r>
        <w:rPr>
          <w:rFonts w:ascii="Garamond" w:hAnsi="Garamond" w:cs="Calibri"/>
          <w:sz w:val="24"/>
          <w:szCs w:val="24"/>
        </w:rPr>
        <w:t>Sous la direction de</w:t>
      </w:r>
      <w:r w:rsidR="00204DBC" w:rsidRPr="006347D3">
        <w:rPr>
          <w:rFonts w:ascii="Garamond" w:hAnsi="Garamond" w:cs="Calibri"/>
          <w:sz w:val="24"/>
          <w:szCs w:val="24"/>
        </w:rPr>
        <w:t xml:space="preserve"> Karim El Aynaoui et Arkebe Oqubay</w:t>
      </w:r>
      <w:r w:rsidR="002C2DAB" w:rsidRPr="006347D3">
        <w:rPr>
          <w:rFonts w:ascii="Garamond" w:hAnsi="Garamond" w:cs="Calibri"/>
          <w:sz w:val="24"/>
          <w:szCs w:val="24"/>
        </w:rPr>
        <w:t xml:space="preserve"> et </w:t>
      </w:r>
      <w:r w:rsidR="00B335A3" w:rsidRPr="006347D3">
        <w:rPr>
          <w:rFonts w:ascii="Garamond" w:hAnsi="Garamond" w:cs="Calibri"/>
          <w:sz w:val="24"/>
          <w:szCs w:val="24"/>
        </w:rPr>
        <w:t xml:space="preserve">publié par </w:t>
      </w:r>
      <w:r w:rsidR="00943AA5">
        <w:rPr>
          <w:rFonts w:ascii="Garamond" w:hAnsi="Garamond" w:cs="Calibri"/>
          <w:i/>
          <w:iCs/>
          <w:sz w:val="24"/>
          <w:szCs w:val="24"/>
        </w:rPr>
        <w:t xml:space="preserve">Oxford </w:t>
      </w:r>
      <w:proofErr w:type="spellStart"/>
      <w:r w:rsidR="00943AA5">
        <w:rPr>
          <w:rFonts w:ascii="Garamond" w:hAnsi="Garamond" w:cs="Calibri"/>
          <w:i/>
          <w:iCs/>
          <w:sz w:val="24"/>
          <w:szCs w:val="24"/>
        </w:rPr>
        <w:t>University</w:t>
      </w:r>
      <w:proofErr w:type="spellEnd"/>
      <w:r w:rsidR="00943AA5">
        <w:rPr>
          <w:rFonts w:ascii="Garamond" w:hAnsi="Garamond" w:cs="Calibri"/>
          <w:i/>
          <w:iCs/>
          <w:sz w:val="24"/>
          <w:szCs w:val="24"/>
        </w:rPr>
        <w:t xml:space="preserve"> Press</w:t>
      </w:r>
      <w:r w:rsidR="00204DBC" w:rsidRPr="006347D3">
        <w:rPr>
          <w:rFonts w:ascii="Garamond" w:hAnsi="Garamond" w:cs="Calibri"/>
          <w:sz w:val="24"/>
          <w:szCs w:val="24"/>
        </w:rPr>
        <w:t xml:space="preserve">, </w:t>
      </w:r>
      <w:r w:rsidR="00204DBC" w:rsidRPr="002B4236">
        <w:rPr>
          <w:rFonts w:ascii="Garamond" w:hAnsi="Garamond" w:cs="Calibri"/>
          <w:sz w:val="24"/>
          <w:szCs w:val="24"/>
        </w:rPr>
        <w:t xml:space="preserve">The Oxford Handbook of the </w:t>
      </w:r>
      <w:proofErr w:type="spellStart"/>
      <w:r w:rsidR="00204DBC" w:rsidRPr="002B4236">
        <w:rPr>
          <w:rFonts w:ascii="Garamond" w:hAnsi="Garamond" w:cs="Calibri"/>
          <w:sz w:val="24"/>
          <w:szCs w:val="24"/>
        </w:rPr>
        <w:t>Moroccan</w:t>
      </w:r>
      <w:proofErr w:type="spellEnd"/>
      <w:r w:rsidR="00204DBC" w:rsidRPr="002B4236">
        <w:rPr>
          <w:rFonts w:ascii="Garamond" w:hAnsi="Garamond" w:cs="Calibri"/>
          <w:sz w:val="24"/>
          <w:szCs w:val="24"/>
        </w:rPr>
        <w:t xml:space="preserve"> Economy</w:t>
      </w:r>
      <w:r w:rsidR="00204DBC" w:rsidRPr="006347D3">
        <w:rPr>
          <w:rFonts w:ascii="Garamond" w:hAnsi="Garamond" w:cs="Calibri"/>
          <w:sz w:val="24"/>
          <w:szCs w:val="24"/>
        </w:rPr>
        <w:t xml:space="preserve"> </w:t>
      </w:r>
      <w:r w:rsidR="00943AA5">
        <w:rPr>
          <w:rFonts w:ascii="Garamond" w:hAnsi="Garamond" w:cs="Calibri"/>
          <w:sz w:val="24"/>
          <w:szCs w:val="24"/>
        </w:rPr>
        <w:t>propose, à travers ses</w:t>
      </w:r>
      <w:r w:rsidR="00204DBC" w:rsidRPr="006347D3">
        <w:rPr>
          <w:rFonts w:ascii="Garamond" w:hAnsi="Garamond" w:cs="Calibri"/>
          <w:sz w:val="24"/>
          <w:szCs w:val="24"/>
        </w:rPr>
        <w:t xml:space="preserve"> 53 contributeurs </w:t>
      </w:r>
      <w:r w:rsidR="00943AA5">
        <w:rPr>
          <w:rFonts w:ascii="Garamond" w:hAnsi="Garamond" w:cs="Calibri"/>
          <w:sz w:val="24"/>
          <w:szCs w:val="24"/>
        </w:rPr>
        <w:t xml:space="preserve">et </w:t>
      </w:r>
      <w:r w:rsidR="00204DBC" w:rsidRPr="006347D3">
        <w:rPr>
          <w:rFonts w:ascii="Garamond" w:hAnsi="Garamond" w:cs="Calibri"/>
          <w:sz w:val="24"/>
          <w:szCs w:val="24"/>
        </w:rPr>
        <w:t>34 chapitres, une analyse historique de l’évolution de l’économie marocaine de 1960 à 2025.</w:t>
      </w:r>
    </w:p>
    <w:p w14:paraId="2D5508F2" w14:textId="2360FCAB" w:rsidR="00204DBC" w:rsidRPr="006347D3" w:rsidRDefault="00204DBC" w:rsidP="006347D3">
      <w:pPr>
        <w:jc w:val="both"/>
        <w:rPr>
          <w:rFonts w:ascii="Garamond" w:hAnsi="Garamond" w:cs="Calibri"/>
          <w:sz w:val="24"/>
          <w:szCs w:val="24"/>
        </w:rPr>
      </w:pPr>
      <w:r w:rsidRPr="006347D3">
        <w:rPr>
          <w:rFonts w:ascii="Garamond" w:hAnsi="Garamond" w:cs="Calibri"/>
          <w:sz w:val="24"/>
          <w:szCs w:val="24"/>
        </w:rPr>
        <w:t xml:space="preserve">Pensé comme un manuel de référence, il met à disposition une base analytique structurée sur les faits stylisés, les tendances de long terme, les transformations sectorielles et les grands enjeux de politique publique qui façonnent la trajectoire économique du Maroc. </w:t>
      </w:r>
      <w:r w:rsidR="00093CA3" w:rsidRPr="006347D3">
        <w:rPr>
          <w:rFonts w:ascii="Garamond" w:hAnsi="Garamond" w:cs="Calibri"/>
          <w:sz w:val="24"/>
          <w:szCs w:val="24"/>
        </w:rPr>
        <w:t>Il vise ainsi à renouveler le stock de connaissances disponible sur l’économie marocaine et à en proposer une synthèse structurée, rigoureuse et accessible aux chercheurs, étudiants, décideurs publics et praticiens</w:t>
      </w:r>
      <w:r w:rsidRPr="006347D3">
        <w:rPr>
          <w:rFonts w:ascii="Garamond" w:hAnsi="Garamond" w:cs="Calibri"/>
          <w:sz w:val="24"/>
          <w:szCs w:val="24"/>
        </w:rPr>
        <w:t>.</w:t>
      </w:r>
    </w:p>
    <w:p w14:paraId="3245089A" w14:textId="77777777" w:rsidR="00204DBC" w:rsidRPr="009D43DA" w:rsidRDefault="00204DBC" w:rsidP="004F3C6A">
      <w:pPr>
        <w:spacing w:after="0"/>
        <w:jc w:val="both"/>
        <w:rPr>
          <w:rFonts w:ascii="Garamond" w:hAnsi="Garamond" w:cstheme="minorHAnsi"/>
          <w:b/>
          <w:color w:val="0070C0"/>
          <w:sz w:val="24"/>
          <w:szCs w:val="24"/>
          <w:lang w:val="fr-MA"/>
        </w:rPr>
      </w:pPr>
      <w:r w:rsidRPr="009D43DA">
        <w:rPr>
          <w:rFonts w:ascii="Garamond" w:hAnsi="Garamond" w:cstheme="minorHAnsi"/>
          <w:b/>
          <w:color w:val="0070C0"/>
          <w:sz w:val="24"/>
          <w:szCs w:val="24"/>
          <w:lang w:val="fr-MA"/>
        </w:rPr>
        <w:t>Une lecture analytique de la trajectoire marocaine</w:t>
      </w:r>
    </w:p>
    <w:p w14:paraId="1D67C9E0" w14:textId="77777777" w:rsidR="00204DBC" w:rsidRPr="006347D3" w:rsidRDefault="00204DBC" w:rsidP="006347D3">
      <w:pPr>
        <w:jc w:val="both"/>
        <w:rPr>
          <w:rFonts w:ascii="Garamond" w:hAnsi="Garamond" w:cs="Calibri"/>
          <w:sz w:val="24"/>
          <w:szCs w:val="24"/>
        </w:rPr>
      </w:pPr>
      <w:r w:rsidRPr="006347D3">
        <w:rPr>
          <w:rFonts w:ascii="Garamond" w:hAnsi="Garamond" w:cs="Calibri"/>
          <w:sz w:val="24"/>
          <w:szCs w:val="24"/>
        </w:rPr>
        <w:t>Le Maroc s’est profondément transformé au cours des dernières décennies. Entre 1971 et 2024, le Royaume a enregistré un taux de croissance annuel moyen du PIB de 4,13 %, et une croissance annuelle moyenne du PIB par habitant de 2,33 %. Sur cette même période, l’espérance de vie est passée de 47 ans en 1960 à 73 ans en 2025, tandis que l’écart d’espérance de vie entre zones rurales et urbaines a été réduit de 14 ans à 5 ans.</w:t>
      </w:r>
    </w:p>
    <w:p w14:paraId="31B84641" w14:textId="7098118F" w:rsidR="00204DBC" w:rsidRPr="006347D3" w:rsidRDefault="00204DBC" w:rsidP="006347D3">
      <w:pPr>
        <w:jc w:val="both"/>
        <w:rPr>
          <w:rFonts w:ascii="Garamond" w:hAnsi="Garamond" w:cs="Calibri"/>
          <w:sz w:val="24"/>
          <w:szCs w:val="24"/>
        </w:rPr>
      </w:pPr>
      <w:r w:rsidRPr="006347D3">
        <w:rPr>
          <w:rFonts w:ascii="Garamond" w:hAnsi="Garamond" w:cs="Calibri"/>
          <w:sz w:val="24"/>
          <w:szCs w:val="24"/>
        </w:rPr>
        <w:t>Le manuel montre toutefois que la trajectoire du Maroc ne peut être appréhendée à travers les seuls agrégats macroéconomiques ou les seuls progrès sociaux</w:t>
      </w:r>
      <w:r w:rsidR="007C0BCE" w:rsidRPr="006347D3">
        <w:rPr>
          <w:rFonts w:ascii="Garamond" w:hAnsi="Garamond" w:cs="Calibri"/>
          <w:sz w:val="24"/>
          <w:szCs w:val="24"/>
        </w:rPr>
        <w:t xml:space="preserve"> </w:t>
      </w:r>
      <w:r w:rsidR="009D43DA">
        <w:rPr>
          <w:rFonts w:ascii="Garamond" w:hAnsi="Garamond" w:cs="Calibri"/>
          <w:sz w:val="24"/>
          <w:szCs w:val="24"/>
        </w:rPr>
        <w:t xml:space="preserve">sont </w:t>
      </w:r>
      <w:r w:rsidR="007C0BCE" w:rsidRPr="006347D3">
        <w:rPr>
          <w:rFonts w:ascii="Garamond" w:hAnsi="Garamond" w:cs="Calibri"/>
          <w:sz w:val="24"/>
          <w:szCs w:val="24"/>
        </w:rPr>
        <w:t xml:space="preserve">mesurés </w:t>
      </w:r>
      <w:r w:rsidR="002B3A14" w:rsidRPr="006347D3">
        <w:rPr>
          <w:rFonts w:ascii="Garamond" w:hAnsi="Garamond" w:cs="Calibri"/>
          <w:sz w:val="24"/>
          <w:szCs w:val="24"/>
        </w:rPr>
        <w:t>sur un plan quantitatif</w:t>
      </w:r>
      <w:r w:rsidRPr="006347D3">
        <w:rPr>
          <w:rFonts w:ascii="Garamond" w:hAnsi="Garamond" w:cs="Calibri"/>
          <w:sz w:val="24"/>
          <w:szCs w:val="24"/>
        </w:rPr>
        <w:t>. Elle doit également être analysée à l’aune des dynamiques de transformation structurelle, des évolutions de la productivité, de la diversification du tissu productif, de la qualité de l’emploi, des capacités technologiques et des institutions qui encadrent l’activité économique.</w:t>
      </w:r>
    </w:p>
    <w:p w14:paraId="056C0814" w14:textId="07547334" w:rsidR="00204DBC" w:rsidRPr="006347D3" w:rsidRDefault="00204DBC" w:rsidP="006347D3">
      <w:pPr>
        <w:jc w:val="both"/>
        <w:rPr>
          <w:rFonts w:ascii="Garamond" w:hAnsi="Garamond" w:cs="Calibri"/>
          <w:sz w:val="24"/>
          <w:szCs w:val="24"/>
        </w:rPr>
      </w:pPr>
      <w:r w:rsidRPr="006347D3">
        <w:rPr>
          <w:rFonts w:ascii="Garamond" w:hAnsi="Garamond" w:cs="Calibri"/>
          <w:sz w:val="24"/>
          <w:szCs w:val="24"/>
        </w:rPr>
        <w:t>Entre 2000 et 2025, le Maroc a renforcé son insertion dans l’économie mondiale, développé de nouveaux pôles industriels et consolidé son tissu exportateur, notamment grâce à des accords commerciaux stratégiques avec l’Union européenne</w:t>
      </w:r>
      <w:r w:rsidR="00497304" w:rsidRPr="006347D3">
        <w:rPr>
          <w:rFonts w:ascii="Garamond" w:hAnsi="Garamond" w:cs="Calibri"/>
          <w:sz w:val="24"/>
          <w:szCs w:val="24"/>
        </w:rPr>
        <w:t xml:space="preserve"> et</w:t>
      </w:r>
      <w:r w:rsidRPr="006347D3">
        <w:rPr>
          <w:rFonts w:ascii="Garamond" w:hAnsi="Garamond" w:cs="Calibri"/>
          <w:sz w:val="24"/>
          <w:szCs w:val="24"/>
        </w:rPr>
        <w:t xml:space="preserve"> les États-Unis, ainsi qu’à une diplomatie économique active en Afrique. Le </w:t>
      </w:r>
      <w:r w:rsidR="00A72D8E" w:rsidRPr="006347D3">
        <w:rPr>
          <w:rFonts w:ascii="Garamond" w:hAnsi="Garamond" w:cs="Calibri"/>
          <w:sz w:val="24"/>
          <w:szCs w:val="24"/>
        </w:rPr>
        <w:t>manuel</w:t>
      </w:r>
      <w:r w:rsidRPr="006347D3">
        <w:rPr>
          <w:rFonts w:ascii="Garamond" w:hAnsi="Garamond" w:cs="Calibri"/>
          <w:sz w:val="24"/>
          <w:szCs w:val="24"/>
        </w:rPr>
        <w:t xml:space="preserve"> met en évidence que cette ouverture a notamment favorisé l’attraction</w:t>
      </w:r>
      <w:r w:rsidR="00497304" w:rsidRPr="006347D3">
        <w:rPr>
          <w:rFonts w:ascii="Garamond" w:hAnsi="Garamond" w:cs="Calibri"/>
          <w:sz w:val="24"/>
          <w:szCs w:val="24"/>
        </w:rPr>
        <w:t xml:space="preserve"> continue</w:t>
      </w:r>
      <w:r w:rsidRPr="006347D3">
        <w:rPr>
          <w:rFonts w:ascii="Garamond" w:hAnsi="Garamond" w:cs="Calibri"/>
          <w:sz w:val="24"/>
          <w:szCs w:val="24"/>
        </w:rPr>
        <w:t xml:space="preserve"> d’investissements directs étrangers et l’intégration du pays dans certaines chaînes de valeur mondiales, en particulier dans l’automobile et l’aéronautique.</w:t>
      </w:r>
    </w:p>
    <w:p w14:paraId="1C7EA04A" w14:textId="1438CACA" w:rsidR="00204DBC" w:rsidRPr="006347D3" w:rsidRDefault="00204DBC" w:rsidP="006347D3">
      <w:pPr>
        <w:jc w:val="both"/>
        <w:rPr>
          <w:rFonts w:ascii="Garamond" w:hAnsi="Garamond" w:cs="Calibri"/>
          <w:sz w:val="24"/>
          <w:szCs w:val="24"/>
        </w:rPr>
      </w:pPr>
      <w:r w:rsidRPr="006347D3">
        <w:rPr>
          <w:rFonts w:ascii="Garamond" w:hAnsi="Garamond" w:cs="Calibri"/>
          <w:sz w:val="24"/>
          <w:szCs w:val="24"/>
        </w:rPr>
        <w:t>L’un des constats centraux du manuel est que la transformation marocaine s’est appuyée sur la combinaison d’un cadre macroéconomique relativement stable, d’investissements massifs dans les infrastructures, d’une amélioration de l’environnement réglementaire, de la montée en puissance</w:t>
      </w:r>
      <w:r w:rsidR="004341B8" w:rsidRPr="006347D3">
        <w:rPr>
          <w:rFonts w:ascii="Garamond" w:hAnsi="Garamond" w:cs="Calibri"/>
          <w:sz w:val="24"/>
          <w:szCs w:val="24"/>
        </w:rPr>
        <w:t xml:space="preserve"> graduelle</w:t>
      </w:r>
      <w:r w:rsidRPr="006347D3">
        <w:rPr>
          <w:rFonts w:ascii="Garamond" w:hAnsi="Garamond" w:cs="Calibri"/>
          <w:sz w:val="24"/>
          <w:szCs w:val="24"/>
        </w:rPr>
        <w:t xml:space="preserve"> d’agences de régulation</w:t>
      </w:r>
      <w:r w:rsidR="007B4602" w:rsidRPr="006347D3">
        <w:rPr>
          <w:rFonts w:ascii="Garamond" w:hAnsi="Garamond" w:cs="Calibri"/>
          <w:sz w:val="24"/>
          <w:szCs w:val="24"/>
        </w:rPr>
        <w:t xml:space="preserve"> autonomes</w:t>
      </w:r>
      <w:r w:rsidRPr="006347D3">
        <w:rPr>
          <w:rFonts w:ascii="Garamond" w:hAnsi="Garamond" w:cs="Calibri"/>
          <w:sz w:val="24"/>
          <w:szCs w:val="24"/>
        </w:rPr>
        <w:t xml:space="preserve">, et d’une capacité croissante de coordination publique dans la conduite des politiques économiques. Le pays a ainsi démontré une capacité d’adaptation face à des chocs multiples, qu’il s’agisse de la crise financière de 2008, de la pandémie de Covid-19, </w:t>
      </w:r>
      <w:r w:rsidR="00F97F0B" w:rsidRPr="006347D3">
        <w:rPr>
          <w:rFonts w:ascii="Garamond" w:hAnsi="Garamond" w:cs="Calibri"/>
          <w:sz w:val="24"/>
          <w:szCs w:val="24"/>
        </w:rPr>
        <w:t xml:space="preserve">de répondre </w:t>
      </w:r>
      <w:r w:rsidR="00FA5551" w:rsidRPr="006347D3">
        <w:rPr>
          <w:rFonts w:ascii="Garamond" w:hAnsi="Garamond" w:cs="Calibri"/>
          <w:sz w:val="24"/>
          <w:szCs w:val="24"/>
        </w:rPr>
        <w:t xml:space="preserve">aux demandes sociales, </w:t>
      </w:r>
      <w:r w:rsidRPr="006347D3">
        <w:rPr>
          <w:rFonts w:ascii="Garamond" w:hAnsi="Garamond" w:cs="Calibri"/>
          <w:sz w:val="24"/>
          <w:szCs w:val="24"/>
        </w:rPr>
        <w:t>de la guerre en Ukraine, des sécheresses répétées ou du séisme d’Al Haouz.</w:t>
      </w:r>
    </w:p>
    <w:p w14:paraId="40D7F320" w14:textId="5888312E" w:rsidR="00204DBC" w:rsidRPr="006347D3" w:rsidRDefault="00204DBC" w:rsidP="006347D3">
      <w:pPr>
        <w:jc w:val="both"/>
        <w:rPr>
          <w:rFonts w:ascii="Garamond" w:hAnsi="Garamond" w:cs="Calibri"/>
          <w:sz w:val="24"/>
          <w:szCs w:val="24"/>
        </w:rPr>
      </w:pPr>
      <w:r w:rsidRPr="006347D3">
        <w:rPr>
          <w:rFonts w:ascii="Garamond" w:hAnsi="Garamond" w:cs="Calibri"/>
          <w:sz w:val="24"/>
          <w:szCs w:val="24"/>
        </w:rPr>
        <w:t xml:space="preserve">Le manuel met néanmoins en évidence le caractère encore incomplet de cette transformation. Si le Maroc a franchi une étape importante d’intégration internationale et de diversification productive, </w:t>
      </w:r>
      <w:r w:rsidRPr="006347D3">
        <w:rPr>
          <w:rFonts w:ascii="Garamond" w:hAnsi="Garamond" w:cs="Calibri"/>
          <w:sz w:val="24"/>
          <w:szCs w:val="24"/>
        </w:rPr>
        <w:lastRenderedPageBreak/>
        <w:t xml:space="preserve">les gains de productivité demeurent insuffisants à l’échelle agrégée, la diffusion des effets d’entraînement vers l’ensemble du tissu économique reste partielle, et les retombées sur </w:t>
      </w:r>
      <w:r w:rsidR="00891138" w:rsidRPr="006347D3">
        <w:rPr>
          <w:rFonts w:ascii="Garamond" w:hAnsi="Garamond" w:cs="Calibri"/>
          <w:sz w:val="24"/>
          <w:szCs w:val="24"/>
        </w:rPr>
        <w:t xml:space="preserve">la dynamique de </w:t>
      </w:r>
      <w:r w:rsidRPr="006347D3">
        <w:rPr>
          <w:rFonts w:ascii="Garamond" w:hAnsi="Garamond" w:cs="Calibri"/>
          <w:sz w:val="24"/>
          <w:szCs w:val="24"/>
        </w:rPr>
        <w:t>l’investissement privé domestique, l’innovation locale et la création d’emplois de qualité restent en deçà des attentes.</w:t>
      </w:r>
    </w:p>
    <w:p w14:paraId="2DF8627E" w14:textId="1BC9E82C" w:rsidR="00FF4036" w:rsidRPr="006347D3" w:rsidRDefault="00FF4036" w:rsidP="006347D3">
      <w:pPr>
        <w:jc w:val="both"/>
        <w:rPr>
          <w:rFonts w:ascii="Garamond" w:hAnsi="Garamond" w:cs="Calibri"/>
          <w:sz w:val="24"/>
          <w:szCs w:val="24"/>
        </w:rPr>
      </w:pPr>
      <w:r w:rsidRPr="006347D3">
        <w:rPr>
          <w:rFonts w:ascii="Garamond" w:hAnsi="Garamond" w:cs="Calibri"/>
          <w:sz w:val="24"/>
          <w:szCs w:val="24"/>
        </w:rPr>
        <w:t xml:space="preserve">En ce sens, le </w:t>
      </w:r>
      <w:r w:rsidR="005C07C1" w:rsidRPr="006347D3">
        <w:rPr>
          <w:rFonts w:ascii="Garamond" w:hAnsi="Garamond" w:cs="Calibri"/>
          <w:sz w:val="24"/>
          <w:szCs w:val="24"/>
        </w:rPr>
        <w:t xml:space="preserve">« Oxford Handbook of the Moroccan Economy » </w:t>
      </w:r>
      <w:r w:rsidRPr="006347D3">
        <w:rPr>
          <w:rFonts w:ascii="Garamond" w:hAnsi="Garamond" w:cs="Calibri"/>
          <w:sz w:val="24"/>
          <w:szCs w:val="24"/>
        </w:rPr>
        <w:t>met en évidence que le défi central pour l’économie marocaine n’est plus seulement celui de l’ouverture ou de la stabilisation</w:t>
      </w:r>
      <w:r w:rsidR="00CF2C1F" w:rsidRPr="006347D3">
        <w:rPr>
          <w:rFonts w:ascii="Garamond" w:hAnsi="Garamond" w:cs="Calibri"/>
          <w:sz w:val="24"/>
          <w:szCs w:val="24"/>
        </w:rPr>
        <w:t xml:space="preserve"> macroéconomique</w:t>
      </w:r>
      <w:r w:rsidRPr="006347D3">
        <w:rPr>
          <w:rFonts w:ascii="Garamond" w:hAnsi="Garamond" w:cs="Calibri"/>
          <w:sz w:val="24"/>
          <w:szCs w:val="24"/>
        </w:rPr>
        <w:t xml:space="preserve">, mais celui d’une </w:t>
      </w:r>
      <w:r w:rsidR="00A645A9" w:rsidRPr="006347D3">
        <w:rPr>
          <w:rFonts w:ascii="Garamond" w:hAnsi="Garamond" w:cs="Calibri"/>
          <w:sz w:val="24"/>
          <w:szCs w:val="24"/>
        </w:rPr>
        <w:t xml:space="preserve">nouvelle </w:t>
      </w:r>
      <w:r w:rsidRPr="006347D3">
        <w:rPr>
          <w:rFonts w:ascii="Garamond" w:hAnsi="Garamond" w:cs="Calibri"/>
          <w:sz w:val="24"/>
          <w:szCs w:val="24"/>
        </w:rPr>
        <w:t xml:space="preserve">transformation, centrée sur la montée en gamme productive, le développement de </w:t>
      </w:r>
      <w:proofErr w:type="spellStart"/>
      <w:r w:rsidRPr="006347D3">
        <w:rPr>
          <w:rFonts w:ascii="Garamond" w:hAnsi="Garamond" w:cs="Calibri"/>
          <w:sz w:val="24"/>
          <w:szCs w:val="24"/>
        </w:rPr>
        <w:t>spillovers</w:t>
      </w:r>
      <w:proofErr w:type="spellEnd"/>
      <w:r w:rsidRPr="006347D3">
        <w:rPr>
          <w:rFonts w:ascii="Garamond" w:hAnsi="Garamond" w:cs="Calibri"/>
          <w:sz w:val="24"/>
          <w:szCs w:val="24"/>
        </w:rPr>
        <w:t xml:space="preserve"> domestiques</w:t>
      </w:r>
      <w:r w:rsidR="00EF496B" w:rsidRPr="006347D3">
        <w:rPr>
          <w:rFonts w:ascii="Garamond" w:hAnsi="Garamond" w:cs="Calibri"/>
          <w:sz w:val="24"/>
          <w:szCs w:val="24"/>
        </w:rPr>
        <w:t xml:space="preserve"> plus intenses</w:t>
      </w:r>
      <w:r w:rsidRPr="006347D3">
        <w:rPr>
          <w:rFonts w:ascii="Garamond" w:hAnsi="Garamond" w:cs="Calibri"/>
          <w:sz w:val="24"/>
          <w:szCs w:val="24"/>
        </w:rPr>
        <w:t xml:space="preserve">, le renforcement des capacités technologiques, l’investissement dans le capital humain </w:t>
      </w:r>
      <w:r w:rsidR="00BF4901" w:rsidRPr="006347D3">
        <w:rPr>
          <w:rFonts w:ascii="Garamond" w:hAnsi="Garamond" w:cs="Calibri"/>
          <w:sz w:val="24"/>
          <w:szCs w:val="24"/>
        </w:rPr>
        <w:t xml:space="preserve">et la recherche </w:t>
      </w:r>
      <w:r w:rsidRPr="006347D3">
        <w:rPr>
          <w:rFonts w:ascii="Garamond" w:hAnsi="Garamond" w:cs="Calibri"/>
          <w:sz w:val="24"/>
          <w:szCs w:val="24"/>
        </w:rPr>
        <w:t>et une diffusion plus large du changement structurel au sein de l’économie.</w:t>
      </w:r>
    </w:p>
    <w:p w14:paraId="7E4997DD" w14:textId="6B8D7CC4" w:rsidR="00D72293" w:rsidRPr="009D43DA" w:rsidRDefault="00204DBC" w:rsidP="004F3C6A">
      <w:pPr>
        <w:spacing w:after="0"/>
        <w:jc w:val="both"/>
        <w:rPr>
          <w:rFonts w:ascii="Garamond" w:hAnsi="Garamond" w:cstheme="minorHAnsi"/>
          <w:b/>
          <w:color w:val="0070C0"/>
          <w:sz w:val="24"/>
          <w:szCs w:val="24"/>
          <w:lang w:val="fr-MA"/>
        </w:rPr>
      </w:pPr>
      <w:r w:rsidRPr="009D43DA">
        <w:rPr>
          <w:rFonts w:ascii="Garamond" w:hAnsi="Garamond" w:cstheme="minorHAnsi"/>
          <w:b/>
          <w:color w:val="0070C0"/>
          <w:sz w:val="24"/>
          <w:szCs w:val="24"/>
          <w:lang w:val="fr-MA"/>
        </w:rPr>
        <w:t>Un manuel centré sur les grandes questions économiques du Maroc</w:t>
      </w:r>
    </w:p>
    <w:p w14:paraId="4531571F" w14:textId="6CDE9F6F" w:rsidR="00204DBC" w:rsidRPr="006347D3" w:rsidRDefault="00204DBC" w:rsidP="006347D3">
      <w:pPr>
        <w:jc w:val="both"/>
        <w:rPr>
          <w:rFonts w:ascii="Garamond" w:hAnsi="Garamond" w:cs="Calibri"/>
          <w:b/>
          <w:bCs/>
          <w:sz w:val="24"/>
          <w:szCs w:val="24"/>
        </w:rPr>
      </w:pPr>
      <w:r w:rsidRPr="006347D3">
        <w:rPr>
          <w:rFonts w:ascii="Garamond" w:hAnsi="Garamond" w:cs="Calibri"/>
          <w:sz w:val="24"/>
          <w:szCs w:val="24"/>
        </w:rPr>
        <w:t>Les chapitres du manuel abordent les grandes questions qui structurent aujourd’hui le débat économique sur le Maroc : transformation structurelle, productivité, industrialisation, politiques industrielles,</w:t>
      </w:r>
      <w:r w:rsidR="00DD571C" w:rsidRPr="006347D3">
        <w:rPr>
          <w:rFonts w:ascii="Garamond" w:hAnsi="Garamond" w:cs="Calibri"/>
          <w:sz w:val="24"/>
          <w:szCs w:val="24"/>
        </w:rPr>
        <w:t xml:space="preserve"> recherche et innovation</w:t>
      </w:r>
      <w:r w:rsidR="00373B44">
        <w:rPr>
          <w:rFonts w:ascii="Garamond" w:hAnsi="Garamond" w:cs="Calibri"/>
          <w:sz w:val="24"/>
          <w:szCs w:val="24"/>
        </w:rPr>
        <w:t>,</w:t>
      </w:r>
      <w:r w:rsidRPr="006347D3">
        <w:rPr>
          <w:rFonts w:ascii="Garamond" w:hAnsi="Garamond" w:cs="Calibri"/>
          <w:sz w:val="24"/>
          <w:szCs w:val="24"/>
        </w:rPr>
        <w:t xml:space="preserve"> développement du secteur privé, intégration dans les chaînes de valeur mondiales, marché du travail, informalité, pauvreté, inégalités, éducation, santé, transition énergétique et développement régional.</w:t>
      </w:r>
    </w:p>
    <w:p w14:paraId="10E815FC" w14:textId="77777777" w:rsidR="00204DBC" w:rsidRPr="006347D3" w:rsidRDefault="00204DBC" w:rsidP="006347D3">
      <w:pPr>
        <w:jc w:val="both"/>
        <w:rPr>
          <w:rFonts w:ascii="Garamond" w:hAnsi="Garamond" w:cs="Calibri"/>
          <w:sz w:val="24"/>
          <w:szCs w:val="24"/>
        </w:rPr>
      </w:pPr>
      <w:r w:rsidRPr="006347D3">
        <w:rPr>
          <w:rFonts w:ascii="Garamond" w:hAnsi="Garamond" w:cs="Calibri"/>
          <w:sz w:val="24"/>
          <w:szCs w:val="24"/>
        </w:rPr>
        <w:t>Ils montrent notamment que l’industrialisation ne peut être réduite à des mesures tarifaires ou à des incitations ponctuelles. Elle repose sur la capacité à construire des écosystèmes productifs cohérents, à assurer la prévisibilité du cadre macroéconomique, à développer des infrastructures performantes, à former la main-d’œuvre et à mettre en place les multiples conditions institutionnelles qui rendent possibles des investissements compétitifs à l’échelle mondiale.</w:t>
      </w:r>
    </w:p>
    <w:p w14:paraId="32A0103B" w14:textId="3F5F73F4" w:rsidR="00204DBC" w:rsidRPr="006347D3" w:rsidRDefault="00204DBC" w:rsidP="006347D3">
      <w:pPr>
        <w:jc w:val="both"/>
        <w:rPr>
          <w:rFonts w:ascii="Garamond" w:hAnsi="Garamond" w:cs="Calibri"/>
          <w:sz w:val="24"/>
          <w:szCs w:val="24"/>
        </w:rPr>
      </w:pPr>
      <w:r w:rsidRPr="006347D3">
        <w:rPr>
          <w:rFonts w:ascii="Garamond" w:hAnsi="Garamond" w:cs="Calibri"/>
          <w:sz w:val="24"/>
          <w:szCs w:val="24"/>
        </w:rPr>
        <w:t xml:space="preserve">Le </w:t>
      </w:r>
      <w:r w:rsidR="00A72D8E" w:rsidRPr="006347D3">
        <w:rPr>
          <w:rFonts w:ascii="Garamond" w:hAnsi="Garamond" w:cs="Calibri"/>
          <w:sz w:val="24"/>
          <w:szCs w:val="24"/>
        </w:rPr>
        <w:t>manuel</w:t>
      </w:r>
      <w:r w:rsidRPr="006347D3">
        <w:rPr>
          <w:rFonts w:ascii="Garamond" w:hAnsi="Garamond" w:cs="Calibri"/>
          <w:sz w:val="24"/>
          <w:szCs w:val="24"/>
        </w:rPr>
        <w:t xml:space="preserve"> insiste également sur le fait que le développement n’est ni linéaire ni réductible à une recette unique. Il relève d’un processus complexe, cumulatif et souvent expérimental, qui suppose apprentissage, ajustement des politiques, capacité de correction et cohérence dans le temps. À cet égard, le cas marocain est analysé non comme un modèle à copier, mais comme une expérience de développement à étudier de manière rigoureuse, dans sa spécificité historique et institutionnelle.</w:t>
      </w:r>
    </w:p>
    <w:p w14:paraId="57F33B1E" w14:textId="77777777" w:rsidR="00CC5059" w:rsidRPr="006347D3" w:rsidRDefault="00204DBC" w:rsidP="006347D3">
      <w:pPr>
        <w:jc w:val="both"/>
        <w:rPr>
          <w:rFonts w:ascii="Garamond" w:hAnsi="Garamond" w:cs="Calibri"/>
          <w:sz w:val="24"/>
          <w:szCs w:val="24"/>
        </w:rPr>
      </w:pPr>
      <w:r w:rsidRPr="006347D3">
        <w:rPr>
          <w:rFonts w:ascii="Garamond" w:hAnsi="Garamond" w:cs="Calibri"/>
          <w:sz w:val="24"/>
          <w:szCs w:val="24"/>
        </w:rPr>
        <w:t>Le manuel se distingue ainsi par son approche : il ne s’agit ni d’un exercice de célébration, ni d’un plaidoyer normatif. Il propose une lecture équilibrée, critique et fondée sur des preuves, attentive à la fois aux avancées enregistrées, aux contraintes persistantes et aux arbitrages qui pèsent sur les trajectoires de développement.</w:t>
      </w:r>
    </w:p>
    <w:p w14:paraId="0522D2F6" w14:textId="292FDD52" w:rsidR="00204DBC" w:rsidRPr="006347D3" w:rsidRDefault="00204DBC" w:rsidP="006347D3">
      <w:pPr>
        <w:jc w:val="both"/>
        <w:rPr>
          <w:rFonts w:ascii="Garamond" w:hAnsi="Garamond" w:cs="Calibri"/>
          <w:sz w:val="24"/>
          <w:szCs w:val="24"/>
        </w:rPr>
      </w:pPr>
      <w:r w:rsidRPr="006347D3">
        <w:rPr>
          <w:rFonts w:ascii="Garamond" w:hAnsi="Garamond" w:cs="Calibri"/>
          <w:sz w:val="24"/>
          <w:szCs w:val="24"/>
        </w:rPr>
        <w:t>Destiné aux universitaires, chercheurs, décideurs publics, acteurs du secteur privé et étudiants, ce manuel constitue une référence pour comprendre l’économie marocaine dans sa profondeur historique, sa complexité sectorielle et ses enjeux contemporains. Il a vocation à nourrir l’enseignement, la recherche et le débat public à partir d’une base empirique solide, structurée et accessible.</w:t>
      </w:r>
    </w:p>
    <w:p w14:paraId="2403CEA2" w14:textId="77777777" w:rsidR="00204DBC" w:rsidRPr="009D43DA" w:rsidRDefault="00204DBC" w:rsidP="004F3C6A">
      <w:pPr>
        <w:spacing w:after="0"/>
        <w:jc w:val="both"/>
        <w:rPr>
          <w:rFonts w:ascii="Garamond" w:hAnsi="Garamond" w:cstheme="minorHAnsi"/>
          <w:b/>
          <w:color w:val="0070C0"/>
          <w:sz w:val="24"/>
          <w:szCs w:val="24"/>
          <w:lang w:val="fr-MA"/>
        </w:rPr>
      </w:pPr>
      <w:r w:rsidRPr="009D43DA">
        <w:rPr>
          <w:rFonts w:ascii="Garamond" w:hAnsi="Garamond" w:cstheme="minorHAnsi"/>
          <w:b/>
          <w:color w:val="0070C0"/>
          <w:sz w:val="24"/>
          <w:szCs w:val="24"/>
          <w:lang w:val="fr-MA"/>
        </w:rPr>
        <w:t>Une contribution inscrite dans la mission du Policy Center for the New South</w:t>
      </w:r>
    </w:p>
    <w:p w14:paraId="411AD739" w14:textId="6EB42C4F" w:rsidR="00204DBC" w:rsidRPr="006347D3" w:rsidRDefault="00204DBC" w:rsidP="006347D3">
      <w:pPr>
        <w:jc w:val="both"/>
        <w:rPr>
          <w:rFonts w:ascii="Garamond" w:hAnsi="Garamond" w:cs="Calibri"/>
          <w:sz w:val="24"/>
          <w:szCs w:val="24"/>
        </w:rPr>
      </w:pPr>
      <w:r w:rsidRPr="006347D3">
        <w:rPr>
          <w:rFonts w:ascii="Garamond" w:hAnsi="Garamond" w:cs="Calibri"/>
          <w:sz w:val="24"/>
          <w:szCs w:val="24"/>
        </w:rPr>
        <w:t>La publication de ce manuel s’inscrit dans la mission du Policy Center for the New South,</w:t>
      </w:r>
      <w:r w:rsidR="00391B44" w:rsidRPr="006347D3">
        <w:rPr>
          <w:rFonts w:ascii="Garamond" w:hAnsi="Garamond" w:cs="Calibri"/>
          <w:sz w:val="24"/>
          <w:szCs w:val="24"/>
        </w:rPr>
        <w:t xml:space="preserve"> un bien public</w:t>
      </w:r>
      <w:r w:rsidRPr="006347D3">
        <w:rPr>
          <w:rFonts w:ascii="Garamond" w:hAnsi="Garamond" w:cs="Calibri"/>
          <w:sz w:val="24"/>
          <w:szCs w:val="24"/>
        </w:rPr>
        <w:t xml:space="preserve"> qui vise à contribuer au débat stratégique et à la fabrique des politiques publiques au Maroc et sur le continent africain. En proposant une synthèse rigoureuse, accessible et fondée sur l’analyse empirique, ce manuel vient compléter les publications du Policy Center consacrées aux trajectoires de développement, aux réformes économiques et aux transformations structurelles.</w:t>
      </w:r>
    </w:p>
    <w:p w14:paraId="3DBF6C4A" w14:textId="77777777" w:rsidR="00204DBC" w:rsidRPr="009D43DA" w:rsidRDefault="00204DBC" w:rsidP="004F3C6A">
      <w:pPr>
        <w:spacing w:after="0"/>
        <w:jc w:val="both"/>
        <w:rPr>
          <w:rFonts w:ascii="Garamond" w:hAnsi="Garamond" w:cstheme="minorHAnsi"/>
          <w:b/>
          <w:color w:val="0070C0"/>
          <w:sz w:val="24"/>
          <w:szCs w:val="24"/>
          <w:lang w:val="fr-MA"/>
        </w:rPr>
      </w:pPr>
      <w:r w:rsidRPr="009D43DA">
        <w:rPr>
          <w:rFonts w:ascii="Garamond" w:hAnsi="Garamond" w:cstheme="minorHAnsi"/>
          <w:b/>
          <w:color w:val="0070C0"/>
          <w:sz w:val="24"/>
          <w:szCs w:val="24"/>
          <w:lang w:val="fr-MA"/>
        </w:rPr>
        <w:t>Un accès ouvert à la connaissance</w:t>
      </w:r>
    </w:p>
    <w:p w14:paraId="73AA30C4" w14:textId="57583158" w:rsidR="00204DBC" w:rsidRPr="006347D3" w:rsidRDefault="00303934" w:rsidP="006347D3">
      <w:pPr>
        <w:jc w:val="both"/>
        <w:rPr>
          <w:rFonts w:ascii="Garamond" w:hAnsi="Garamond" w:cs="Calibri"/>
          <w:sz w:val="24"/>
          <w:szCs w:val="24"/>
        </w:rPr>
      </w:pPr>
      <w:r w:rsidRPr="006347D3">
        <w:rPr>
          <w:rFonts w:ascii="Garamond" w:hAnsi="Garamond" w:cs="Calibri"/>
          <w:sz w:val="24"/>
          <w:szCs w:val="24"/>
        </w:rPr>
        <w:lastRenderedPageBreak/>
        <w:t>Le manuel est mis à disposition en accès libre sur le site du Policy Center for the New South ainsi que sur celui d’</w:t>
      </w:r>
      <w:r w:rsidRPr="00760B46">
        <w:rPr>
          <w:rFonts w:ascii="Garamond" w:hAnsi="Garamond" w:cs="Calibri"/>
          <w:i/>
          <w:iCs/>
          <w:sz w:val="24"/>
          <w:szCs w:val="24"/>
        </w:rPr>
        <w:t xml:space="preserve">Oxford </w:t>
      </w:r>
      <w:proofErr w:type="spellStart"/>
      <w:r w:rsidRPr="00760B46">
        <w:rPr>
          <w:rFonts w:ascii="Garamond" w:hAnsi="Garamond" w:cs="Calibri"/>
          <w:i/>
          <w:iCs/>
          <w:sz w:val="24"/>
          <w:szCs w:val="24"/>
        </w:rPr>
        <w:t>University</w:t>
      </w:r>
      <w:proofErr w:type="spellEnd"/>
      <w:r w:rsidRPr="00760B46">
        <w:rPr>
          <w:rFonts w:ascii="Garamond" w:hAnsi="Garamond" w:cs="Calibri"/>
          <w:i/>
          <w:iCs/>
          <w:sz w:val="24"/>
          <w:szCs w:val="24"/>
        </w:rPr>
        <w:t xml:space="preserve"> Press</w:t>
      </w:r>
      <w:r w:rsidRPr="006347D3">
        <w:rPr>
          <w:rFonts w:ascii="Garamond" w:hAnsi="Garamond" w:cs="Calibri"/>
          <w:sz w:val="24"/>
          <w:szCs w:val="24"/>
        </w:rPr>
        <w:t xml:space="preserve">, afin d’en garantir la diffusion la plus large auprès des chercheurs, des étudiants, des décideurs publics et du grand public. </w:t>
      </w:r>
      <w:r w:rsidR="00204DBC" w:rsidRPr="006347D3">
        <w:rPr>
          <w:rFonts w:ascii="Garamond" w:hAnsi="Garamond" w:cs="Calibri"/>
          <w:sz w:val="24"/>
          <w:szCs w:val="24"/>
        </w:rPr>
        <w:t>Ce choix reflète une conviction simple : une connaissance économique rigoureuse constitue un bien public essentiel pour éclairer l’action publique, enrichir le débat national et favoriser le dialogue entre chercheurs, praticiens et responsables publics.</w:t>
      </w:r>
    </w:p>
    <w:p w14:paraId="675D2880" w14:textId="25A87649" w:rsidR="00316D58" w:rsidRDefault="0005786E" w:rsidP="00373B44">
      <w:pPr>
        <w:spacing w:before="240" w:after="240"/>
        <w:rPr>
          <w:sz w:val="24"/>
          <w:szCs w:val="24"/>
        </w:rPr>
      </w:pPr>
      <w:r w:rsidRPr="006347D3">
        <w:rPr>
          <w:rFonts w:ascii="Garamond" w:hAnsi="Garamond" w:cs="Calibri"/>
          <w:sz w:val="24"/>
          <w:szCs w:val="24"/>
        </w:rPr>
        <w:t>Le manuel</w:t>
      </w:r>
      <w:r w:rsidR="004B7358" w:rsidRPr="006347D3">
        <w:rPr>
          <w:rFonts w:ascii="Garamond" w:hAnsi="Garamond" w:cs="Calibri"/>
          <w:sz w:val="24"/>
          <w:szCs w:val="24"/>
        </w:rPr>
        <w:t xml:space="preserve"> est mis à disposition en accès libre sur le lien suivant : </w:t>
      </w:r>
      <w:hyperlink r:id="rId7" w:history="1">
        <w:r w:rsidR="00373B44" w:rsidRPr="00BE5D61">
          <w:rPr>
            <w:rStyle w:val="Lienhypertexte"/>
            <w:rFonts w:ascii="Garamond" w:hAnsi="Garamond"/>
            <w:sz w:val="24"/>
            <w:szCs w:val="24"/>
          </w:rPr>
          <w:t>https://www.policycenter.ma/oxford-handbook-economy-morocco</w:t>
        </w:r>
      </w:hyperlink>
      <w:r w:rsidR="00DE28D7" w:rsidRPr="006347D3">
        <w:rPr>
          <w:sz w:val="24"/>
          <w:szCs w:val="24"/>
        </w:rPr>
        <w:t xml:space="preserve"> </w:t>
      </w:r>
    </w:p>
    <w:p w14:paraId="4620AD97" w14:textId="77777777" w:rsidR="00E976D7" w:rsidRPr="00373B44" w:rsidRDefault="00E976D7" w:rsidP="00373B44">
      <w:pPr>
        <w:spacing w:before="240" w:after="240"/>
        <w:rPr>
          <w:rFonts w:ascii="Garamond" w:hAnsi="Garamond" w:cs="Calibri"/>
          <w:sz w:val="24"/>
          <w:szCs w:val="24"/>
        </w:rPr>
      </w:pPr>
    </w:p>
    <w:p w14:paraId="35085E5B" w14:textId="7708DE3B" w:rsidR="00D81518" w:rsidRPr="009D43DA" w:rsidRDefault="005D768F" w:rsidP="00D81518">
      <w:pPr>
        <w:spacing w:after="0"/>
        <w:jc w:val="both"/>
        <w:rPr>
          <w:rFonts w:ascii="Garamond" w:hAnsi="Garamond" w:cstheme="minorHAnsi"/>
          <w:b/>
          <w:color w:val="0070C0"/>
          <w:sz w:val="24"/>
          <w:szCs w:val="24"/>
          <w:lang w:val="fr-MA"/>
        </w:rPr>
      </w:pPr>
      <w:r w:rsidRPr="009D43DA">
        <w:rPr>
          <w:rFonts w:ascii="Garamond" w:hAnsi="Garamond" w:cstheme="minorHAnsi"/>
          <w:b/>
          <w:color w:val="0070C0"/>
          <w:sz w:val="24"/>
          <w:szCs w:val="24"/>
          <w:lang w:val="fr-MA"/>
        </w:rPr>
        <w:t>À propos des éditeurs</w:t>
      </w:r>
    </w:p>
    <w:p w14:paraId="1D18A91E" w14:textId="6371E23D" w:rsidR="00D81518" w:rsidRDefault="00D81518" w:rsidP="00E976D7">
      <w:pPr>
        <w:spacing w:after="0"/>
        <w:jc w:val="both"/>
        <w:rPr>
          <w:rFonts w:ascii="Garamond" w:hAnsi="Garamond" w:cstheme="minorHAnsi"/>
          <w:iCs/>
          <w:color w:val="222222"/>
          <w:sz w:val="24"/>
          <w:szCs w:val="24"/>
          <w:shd w:val="clear" w:color="auto" w:fill="FFFFFF"/>
        </w:rPr>
      </w:pPr>
      <w:r w:rsidRPr="009671C6">
        <w:rPr>
          <w:rFonts w:ascii="Garamond" w:hAnsi="Garamond" w:cstheme="minorHAnsi"/>
          <w:b/>
          <w:bCs/>
          <w:iCs/>
          <w:color w:val="222222"/>
          <w:sz w:val="24"/>
          <w:szCs w:val="24"/>
          <w:shd w:val="clear" w:color="auto" w:fill="FFFFFF"/>
        </w:rPr>
        <w:t>Karim El Aynaoui</w:t>
      </w:r>
      <w:r w:rsidRPr="009671C6">
        <w:rPr>
          <w:rFonts w:ascii="Garamond" w:hAnsi="Garamond" w:cstheme="minorHAnsi"/>
          <w:iCs/>
          <w:color w:val="222222"/>
          <w:sz w:val="24"/>
          <w:szCs w:val="24"/>
          <w:shd w:val="clear" w:color="auto" w:fill="FFFFFF"/>
        </w:rPr>
        <w:t xml:space="preserve"> est économiste et président exécutif du Policy Center for the New South. Il </w:t>
      </w:r>
      <w:r w:rsidR="00373B44">
        <w:rPr>
          <w:rFonts w:ascii="Garamond" w:hAnsi="Garamond" w:cstheme="minorHAnsi"/>
          <w:iCs/>
          <w:color w:val="222222"/>
          <w:sz w:val="24"/>
          <w:szCs w:val="24"/>
          <w:shd w:val="clear" w:color="auto" w:fill="FFFFFF"/>
        </w:rPr>
        <w:t>est</w:t>
      </w:r>
      <w:r w:rsidRPr="009671C6">
        <w:rPr>
          <w:rFonts w:ascii="Garamond" w:hAnsi="Garamond" w:cstheme="minorHAnsi"/>
          <w:iCs/>
          <w:color w:val="222222"/>
          <w:sz w:val="24"/>
          <w:szCs w:val="24"/>
          <w:shd w:val="clear" w:color="auto" w:fill="FFFFFF"/>
        </w:rPr>
        <w:t xml:space="preserve"> également vice-président exécutif de l'Université polytechnique Mohammed VI et doyen de s</w:t>
      </w:r>
      <w:r w:rsidR="00373B44">
        <w:rPr>
          <w:rFonts w:ascii="Garamond" w:hAnsi="Garamond" w:cstheme="minorHAnsi"/>
          <w:iCs/>
          <w:color w:val="222222"/>
          <w:sz w:val="24"/>
          <w:szCs w:val="24"/>
          <w:shd w:val="clear" w:color="auto" w:fill="FFFFFF"/>
        </w:rPr>
        <w:t>a faculté des</w:t>
      </w:r>
      <w:r w:rsidRPr="009671C6">
        <w:rPr>
          <w:rFonts w:ascii="Garamond" w:hAnsi="Garamond" w:cstheme="minorHAnsi"/>
          <w:iCs/>
          <w:color w:val="222222"/>
          <w:sz w:val="24"/>
          <w:szCs w:val="24"/>
          <w:shd w:val="clear" w:color="auto" w:fill="FFFFFF"/>
        </w:rPr>
        <w:t xml:space="preserve"> Sciences humaines, économiques et sociales</w:t>
      </w:r>
      <w:r w:rsidR="0094714C">
        <w:rPr>
          <w:rFonts w:ascii="Garamond" w:hAnsi="Garamond" w:cstheme="minorHAnsi"/>
          <w:iCs/>
          <w:color w:val="222222"/>
          <w:sz w:val="24"/>
          <w:szCs w:val="24"/>
          <w:shd w:val="clear" w:color="auto" w:fill="FFFFFF"/>
        </w:rPr>
        <w:t>…</w:t>
      </w:r>
      <w:r w:rsidRPr="009671C6">
        <w:rPr>
          <w:rFonts w:ascii="Garamond" w:hAnsi="Garamond" w:cstheme="minorHAnsi"/>
          <w:iCs/>
          <w:color w:val="222222"/>
          <w:sz w:val="24"/>
          <w:szCs w:val="24"/>
          <w:shd w:val="clear" w:color="auto" w:fill="FFFFFF"/>
        </w:rPr>
        <w:t xml:space="preserve"> </w:t>
      </w:r>
    </w:p>
    <w:p w14:paraId="1254E2A0" w14:textId="51385646" w:rsidR="0094714C" w:rsidRPr="00A90FC5" w:rsidRDefault="0094714C" w:rsidP="00E976D7">
      <w:pPr>
        <w:spacing w:after="0"/>
        <w:jc w:val="both"/>
        <w:rPr>
          <w:rFonts w:ascii="Garamond" w:hAnsi="Garamond" w:cstheme="minorHAnsi"/>
          <w:iCs/>
          <w:color w:val="222222"/>
          <w:sz w:val="24"/>
          <w:szCs w:val="24"/>
          <w:shd w:val="clear" w:color="auto" w:fill="FFFFFF"/>
        </w:rPr>
      </w:pPr>
      <w:hyperlink r:id="rId8" w:history="1">
        <w:r w:rsidRPr="00A90FC5">
          <w:rPr>
            <w:rStyle w:val="Lienhypertexte"/>
            <w:rFonts w:ascii="Garamond" w:hAnsi="Garamond" w:cstheme="minorHAnsi"/>
            <w:iCs/>
            <w:sz w:val="24"/>
            <w:szCs w:val="24"/>
            <w:shd w:val="clear" w:color="auto" w:fill="FFFFFF"/>
          </w:rPr>
          <w:t>Consulter l’intégralité de l</w:t>
        </w:r>
        <w:r w:rsidR="00373B44" w:rsidRPr="00A90FC5">
          <w:rPr>
            <w:rStyle w:val="Lienhypertexte"/>
            <w:rFonts w:ascii="Garamond" w:hAnsi="Garamond" w:cstheme="minorHAnsi"/>
            <w:iCs/>
            <w:sz w:val="24"/>
            <w:szCs w:val="24"/>
            <w:shd w:val="clear" w:color="auto" w:fill="FFFFFF"/>
          </w:rPr>
          <w:t>a</w:t>
        </w:r>
        <w:r w:rsidRPr="00A90FC5">
          <w:rPr>
            <w:rStyle w:val="Lienhypertexte"/>
            <w:rFonts w:ascii="Garamond" w:hAnsi="Garamond" w:cstheme="minorHAnsi"/>
            <w:iCs/>
            <w:sz w:val="24"/>
            <w:szCs w:val="24"/>
            <w:shd w:val="clear" w:color="auto" w:fill="FFFFFF"/>
          </w:rPr>
          <w:t xml:space="preserve"> biographie</w:t>
        </w:r>
      </w:hyperlink>
    </w:p>
    <w:p w14:paraId="1879C3B0" w14:textId="77777777" w:rsidR="0094714C" w:rsidRDefault="0094714C" w:rsidP="00E976D7">
      <w:pPr>
        <w:spacing w:after="0"/>
        <w:jc w:val="both"/>
        <w:rPr>
          <w:rFonts w:ascii="Garamond" w:hAnsi="Garamond" w:cstheme="minorHAnsi"/>
          <w:iCs/>
          <w:color w:val="222222"/>
          <w:sz w:val="24"/>
          <w:szCs w:val="24"/>
          <w:shd w:val="clear" w:color="auto" w:fill="FFFFFF"/>
        </w:rPr>
      </w:pPr>
    </w:p>
    <w:p w14:paraId="26DE9663" w14:textId="6D0D4BF2" w:rsidR="00D81518" w:rsidRPr="00373B44" w:rsidRDefault="00D81518" w:rsidP="00E976D7">
      <w:pPr>
        <w:spacing w:after="0"/>
        <w:jc w:val="both"/>
        <w:rPr>
          <w:rFonts w:ascii="Garamond" w:hAnsi="Garamond" w:cstheme="minorHAnsi"/>
          <w:iCs/>
          <w:color w:val="222222"/>
          <w:sz w:val="24"/>
          <w:szCs w:val="24"/>
          <w:highlight w:val="yellow"/>
          <w:shd w:val="clear" w:color="auto" w:fill="FFFFFF"/>
        </w:rPr>
      </w:pPr>
      <w:proofErr w:type="spellStart"/>
      <w:r w:rsidRPr="0021255D">
        <w:rPr>
          <w:rFonts w:ascii="Garamond" w:hAnsi="Garamond" w:cstheme="minorHAnsi"/>
          <w:b/>
          <w:bCs/>
          <w:iCs/>
          <w:color w:val="222222"/>
          <w:sz w:val="24"/>
          <w:szCs w:val="24"/>
          <w:shd w:val="clear" w:color="auto" w:fill="FFFFFF"/>
        </w:rPr>
        <w:t>Arkebe</w:t>
      </w:r>
      <w:proofErr w:type="spellEnd"/>
      <w:r w:rsidRPr="0021255D">
        <w:rPr>
          <w:rFonts w:ascii="Garamond" w:hAnsi="Garamond" w:cstheme="minorHAnsi"/>
          <w:b/>
          <w:bCs/>
          <w:iCs/>
          <w:color w:val="222222"/>
          <w:sz w:val="24"/>
          <w:szCs w:val="24"/>
          <w:shd w:val="clear" w:color="auto" w:fill="FFFFFF"/>
        </w:rPr>
        <w:t xml:space="preserve"> Oqubay</w:t>
      </w:r>
      <w:r w:rsidRPr="00C25DB2">
        <w:rPr>
          <w:rFonts w:ascii="Garamond" w:hAnsi="Garamond" w:cstheme="minorHAnsi"/>
          <w:iCs/>
          <w:color w:val="222222"/>
          <w:sz w:val="24"/>
          <w:szCs w:val="24"/>
          <w:shd w:val="clear" w:color="auto" w:fill="FFFFFF"/>
        </w:rPr>
        <w:t xml:space="preserve"> </w:t>
      </w:r>
      <w:r w:rsidRPr="00373B44">
        <w:rPr>
          <w:rFonts w:ascii="Garamond" w:hAnsi="Garamond" w:cstheme="minorHAnsi"/>
          <w:iCs/>
          <w:color w:val="222222"/>
          <w:sz w:val="24"/>
          <w:szCs w:val="24"/>
          <w:shd w:val="clear" w:color="auto" w:fill="FFFFFF"/>
        </w:rPr>
        <w:t xml:space="preserve">est </w:t>
      </w:r>
      <w:r w:rsidR="00373B44" w:rsidRPr="00373B44">
        <w:rPr>
          <w:rFonts w:ascii="Garamond" w:hAnsi="Garamond" w:cstheme="minorHAnsi"/>
          <w:iCs/>
          <w:color w:val="222222"/>
          <w:sz w:val="24"/>
          <w:szCs w:val="24"/>
          <w:shd w:val="clear" w:color="auto" w:fill="FFFFFF"/>
        </w:rPr>
        <w:t xml:space="preserve">professeur titulaire de la chaire « British </w:t>
      </w:r>
      <w:proofErr w:type="spellStart"/>
      <w:r w:rsidR="00373B44" w:rsidRPr="00373B44">
        <w:rPr>
          <w:rFonts w:ascii="Garamond" w:hAnsi="Garamond" w:cstheme="minorHAnsi"/>
          <w:iCs/>
          <w:color w:val="222222"/>
          <w:sz w:val="24"/>
          <w:szCs w:val="24"/>
          <w:shd w:val="clear" w:color="auto" w:fill="FFFFFF"/>
        </w:rPr>
        <w:t>Academy</w:t>
      </w:r>
      <w:proofErr w:type="spellEnd"/>
      <w:r w:rsidR="00373B44" w:rsidRPr="00373B44">
        <w:rPr>
          <w:rFonts w:ascii="Garamond" w:hAnsi="Garamond" w:cstheme="minorHAnsi"/>
          <w:iCs/>
          <w:color w:val="222222"/>
          <w:sz w:val="24"/>
          <w:szCs w:val="24"/>
          <w:shd w:val="clear" w:color="auto" w:fill="FFFFFF"/>
        </w:rPr>
        <w:t xml:space="preserve"> Global » à l'université SOAS de Londres. </w:t>
      </w:r>
      <w:r w:rsidRPr="00373B44">
        <w:rPr>
          <w:rFonts w:ascii="Garamond" w:hAnsi="Garamond" w:cstheme="minorHAnsi"/>
          <w:iCs/>
          <w:color w:val="222222"/>
          <w:sz w:val="24"/>
          <w:szCs w:val="24"/>
          <w:shd w:val="clear" w:color="auto" w:fill="FFFFFF"/>
        </w:rPr>
        <w:t>Il a été ministre d'État et conseiller spécial auprès de trois Premiers ministres éthiopiens</w:t>
      </w:r>
      <w:r w:rsidR="0094714C" w:rsidRPr="00373B44">
        <w:rPr>
          <w:rFonts w:ascii="Garamond" w:hAnsi="Garamond" w:cstheme="minorHAnsi"/>
          <w:iCs/>
          <w:color w:val="222222"/>
          <w:sz w:val="24"/>
          <w:szCs w:val="24"/>
          <w:shd w:val="clear" w:color="auto" w:fill="FFFFFF"/>
        </w:rPr>
        <w:t>…</w:t>
      </w:r>
    </w:p>
    <w:p w14:paraId="1E2FE888" w14:textId="5B18A3CD" w:rsidR="0015591F" w:rsidRPr="00373B44" w:rsidRDefault="0094714C" w:rsidP="00E976D7">
      <w:pPr>
        <w:spacing w:after="0"/>
        <w:jc w:val="both"/>
        <w:rPr>
          <w:rFonts w:ascii="Garamond" w:hAnsi="Garamond" w:cstheme="minorHAnsi"/>
          <w:iCs/>
          <w:color w:val="222222"/>
          <w:sz w:val="24"/>
          <w:szCs w:val="24"/>
          <w:shd w:val="clear" w:color="auto" w:fill="FFFFFF"/>
        </w:rPr>
      </w:pPr>
      <w:hyperlink r:id="rId9" w:history="1">
        <w:r w:rsidRPr="00A90FC5">
          <w:rPr>
            <w:rStyle w:val="Lienhypertexte"/>
            <w:rFonts w:ascii="Garamond" w:hAnsi="Garamond" w:cstheme="minorHAnsi"/>
            <w:iCs/>
            <w:sz w:val="24"/>
            <w:szCs w:val="24"/>
            <w:shd w:val="clear" w:color="auto" w:fill="FFFFFF"/>
          </w:rPr>
          <w:t>Consulter l’intégralité de l</w:t>
        </w:r>
        <w:r w:rsidR="00A90FC5" w:rsidRPr="00A90FC5">
          <w:rPr>
            <w:rStyle w:val="Lienhypertexte"/>
            <w:rFonts w:ascii="Garamond" w:hAnsi="Garamond" w:cstheme="minorHAnsi"/>
            <w:iCs/>
            <w:sz w:val="24"/>
            <w:szCs w:val="24"/>
            <w:shd w:val="clear" w:color="auto" w:fill="FFFFFF"/>
          </w:rPr>
          <w:t xml:space="preserve">a </w:t>
        </w:r>
        <w:r w:rsidRPr="00A90FC5">
          <w:rPr>
            <w:rStyle w:val="Lienhypertexte"/>
            <w:rFonts w:ascii="Garamond" w:hAnsi="Garamond" w:cstheme="minorHAnsi"/>
            <w:iCs/>
            <w:sz w:val="24"/>
            <w:szCs w:val="24"/>
            <w:shd w:val="clear" w:color="auto" w:fill="FFFFFF"/>
          </w:rPr>
          <w:t>biographie</w:t>
        </w:r>
      </w:hyperlink>
    </w:p>
    <w:p w14:paraId="6D215DEF" w14:textId="77777777" w:rsidR="0094714C" w:rsidRDefault="0094714C" w:rsidP="00D81518">
      <w:pPr>
        <w:spacing w:after="0"/>
        <w:rPr>
          <w:rFonts w:ascii="Garamond" w:hAnsi="Garamond" w:cstheme="minorHAnsi"/>
          <w:iCs/>
          <w:color w:val="222222"/>
          <w:sz w:val="24"/>
          <w:szCs w:val="24"/>
          <w:highlight w:val="yellow"/>
          <w:shd w:val="clear" w:color="auto" w:fill="FFFFFF"/>
        </w:rPr>
      </w:pPr>
    </w:p>
    <w:p w14:paraId="37DD15B8" w14:textId="77777777" w:rsidR="00A90FC5" w:rsidRDefault="00A90FC5" w:rsidP="00D81518">
      <w:pPr>
        <w:spacing w:after="0"/>
        <w:rPr>
          <w:rFonts w:ascii="Garamond" w:hAnsi="Garamond" w:cstheme="minorHAnsi"/>
          <w:iCs/>
          <w:color w:val="222222"/>
          <w:sz w:val="24"/>
          <w:szCs w:val="24"/>
          <w:highlight w:val="yellow"/>
          <w:shd w:val="clear" w:color="auto" w:fill="FFFFFF"/>
        </w:rPr>
      </w:pPr>
    </w:p>
    <w:p w14:paraId="35A1EA87" w14:textId="77777777" w:rsidR="00A90FC5" w:rsidRDefault="00A90FC5" w:rsidP="00D81518">
      <w:pPr>
        <w:spacing w:after="0"/>
        <w:rPr>
          <w:rFonts w:ascii="Garamond" w:hAnsi="Garamond" w:cstheme="minorHAnsi"/>
          <w:iCs/>
          <w:color w:val="222222"/>
          <w:sz w:val="24"/>
          <w:szCs w:val="24"/>
          <w:highlight w:val="yellow"/>
          <w:shd w:val="clear" w:color="auto" w:fill="FFFFFF"/>
        </w:rPr>
      </w:pPr>
    </w:p>
    <w:p w14:paraId="19D17C00" w14:textId="77777777" w:rsidR="00A90FC5" w:rsidRDefault="00A90FC5" w:rsidP="00D81518">
      <w:pPr>
        <w:spacing w:after="0"/>
        <w:rPr>
          <w:rFonts w:ascii="Garamond" w:hAnsi="Garamond" w:cstheme="minorHAnsi"/>
          <w:iCs/>
          <w:color w:val="222222"/>
          <w:sz w:val="24"/>
          <w:szCs w:val="24"/>
          <w:highlight w:val="yellow"/>
          <w:shd w:val="clear" w:color="auto" w:fill="FFFFFF"/>
        </w:rPr>
      </w:pPr>
    </w:p>
    <w:p w14:paraId="17191427" w14:textId="3990F6D7" w:rsidR="005169FF" w:rsidRPr="0094714C" w:rsidRDefault="005D768F" w:rsidP="006347D3">
      <w:pPr>
        <w:spacing w:after="0"/>
        <w:jc w:val="both"/>
        <w:rPr>
          <w:rFonts w:ascii="Garamond" w:hAnsi="Garamond" w:cstheme="minorHAnsi"/>
          <w:color w:val="0070C0"/>
          <w:sz w:val="24"/>
          <w:szCs w:val="24"/>
        </w:rPr>
      </w:pPr>
      <w:r>
        <w:rPr>
          <w:rFonts w:ascii="Garamond" w:hAnsi="Garamond" w:cstheme="minorHAnsi"/>
          <w:b/>
          <w:color w:val="0070C0"/>
          <w:sz w:val="24"/>
          <w:szCs w:val="24"/>
        </w:rPr>
        <w:t>Contacts presse</w:t>
      </w:r>
    </w:p>
    <w:p w14:paraId="3826C933" w14:textId="77777777" w:rsidR="005169FF" w:rsidRPr="00CF4276" w:rsidRDefault="005169FF" w:rsidP="006347D3">
      <w:pPr>
        <w:spacing w:after="0"/>
        <w:jc w:val="both"/>
        <w:rPr>
          <w:rFonts w:ascii="Garamond" w:hAnsi="Garamond" w:cstheme="minorHAnsi"/>
          <w:sz w:val="24"/>
          <w:szCs w:val="24"/>
          <w:lang w:val="en-US"/>
        </w:rPr>
      </w:pPr>
      <w:proofErr w:type="spellStart"/>
      <w:r w:rsidRPr="00CF4276">
        <w:rPr>
          <w:rFonts w:ascii="Garamond" w:hAnsi="Garamond" w:cstheme="minorHAnsi"/>
          <w:b/>
          <w:bCs/>
          <w:sz w:val="24"/>
          <w:szCs w:val="24"/>
          <w:lang w:val="en-US"/>
        </w:rPr>
        <w:t>Hasnaâ</w:t>
      </w:r>
      <w:proofErr w:type="spellEnd"/>
      <w:r w:rsidRPr="00CF4276">
        <w:rPr>
          <w:rFonts w:ascii="Garamond" w:hAnsi="Garamond" w:cstheme="minorHAnsi"/>
          <w:b/>
          <w:bCs/>
          <w:sz w:val="24"/>
          <w:szCs w:val="24"/>
          <w:lang w:val="en-US"/>
        </w:rPr>
        <w:t xml:space="preserve"> Tadili</w:t>
      </w:r>
      <w:r w:rsidRPr="00CF4276">
        <w:rPr>
          <w:rFonts w:ascii="Garamond" w:hAnsi="Garamond" w:cstheme="minorHAnsi"/>
          <w:sz w:val="24"/>
          <w:szCs w:val="24"/>
          <w:lang w:val="en-US"/>
        </w:rPr>
        <w:t xml:space="preserve"> | Press Relations Manager | </w:t>
      </w:r>
      <w:hyperlink r:id="rId10" w:history="1">
        <w:r w:rsidRPr="00CF4276">
          <w:rPr>
            <w:rStyle w:val="Lienhypertexte"/>
            <w:rFonts w:ascii="Garamond" w:hAnsi="Garamond" w:cstheme="minorHAnsi"/>
            <w:sz w:val="24"/>
            <w:szCs w:val="24"/>
            <w:lang w:val="en-US"/>
          </w:rPr>
          <w:t>h.tadili@policycenter.ma</w:t>
        </w:r>
      </w:hyperlink>
      <w:r w:rsidRPr="00CF4276">
        <w:rPr>
          <w:rFonts w:ascii="Garamond" w:hAnsi="Garamond" w:cstheme="minorHAnsi"/>
          <w:sz w:val="24"/>
          <w:szCs w:val="24"/>
          <w:lang w:val="en-US"/>
        </w:rPr>
        <w:t xml:space="preserve"> | +212 (0) 668 116 069</w:t>
      </w:r>
    </w:p>
    <w:p w14:paraId="430189BC" w14:textId="77777777" w:rsidR="005169FF" w:rsidRPr="00CF4276" w:rsidRDefault="005169FF" w:rsidP="006347D3">
      <w:pPr>
        <w:spacing w:after="0"/>
        <w:jc w:val="both"/>
        <w:rPr>
          <w:rFonts w:ascii="Garamond" w:hAnsi="Garamond" w:cstheme="minorHAnsi"/>
          <w:sz w:val="24"/>
          <w:szCs w:val="24"/>
          <w:lang w:val="en-US"/>
        </w:rPr>
      </w:pPr>
      <w:r w:rsidRPr="00CF4276">
        <w:rPr>
          <w:rFonts w:ascii="Garamond" w:hAnsi="Garamond" w:cstheme="minorHAnsi"/>
          <w:b/>
          <w:bCs/>
          <w:sz w:val="24"/>
          <w:szCs w:val="24"/>
          <w:lang w:val="en-US"/>
        </w:rPr>
        <w:t>Alae Jellal</w:t>
      </w:r>
      <w:r w:rsidRPr="00CF4276">
        <w:rPr>
          <w:rFonts w:ascii="Garamond" w:hAnsi="Garamond" w:cstheme="minorHAnsi"/>
          <w:sz w:val="24"/>
          <w:szCs w:val="24"/>
          <w:lang w:val="en-US"/>
        </w:rPr>
        <w:t xml:space="preserve"> | Jr Program Officer | </w:t>
      </w:r>
      <w:hyperlink r:id="rId11" w:history="1">
        <w:r w:rsidRPr="00CF4276">
          <w:rPr>
            <w:rStyle w:val="Lienhypertexte"/>
            <w:rFonts w:ascii="Garamond" w:hAnsi="Garamond" w:cstheme="minorHAnsi"/>
            <w:sz w:val="24"/>
            <w:szCs w:val="24"/>
            <w:lang w:val="en-US"/>
          </w:rPr>
          <w:t>a.jellal@policycenter.ma</w:t>
        </w:r>
      </w:hyperlink>
      <w:r w:rsidRPr="00CF4276">
        <w:rPr>
          <w:rFonts w:ascii="Garamond" w:hAnsi="Garamond" w:cstheme="minorHAnsi"/>
          <w:sz w:val="24"/>
          <w:szCs w:val="24"/>
          <w:lang w:val="en-US"/>
        </w:rPr>
        <w:t xml:space="preserve"> | +212 666-250958 </w:t>
      </w:r>
    </w:p>
    <w:p w14:paraId="2D0DD3D4" w14:textId="77777777" w:rsidR="005169FF" w:rsidRPr="00CF4276" w:rsidRDefault="005169FF" w:rsidP="006347D3">
      <w:pPr>
        <w:spacing w:after="0"/>
        <w:jc w:val="both"/>
        <w:rPr>
          <w:rFonts w:ascii="Garamond" w:hAnsi="Garamond" w:cstheme="minorHAnsi"/>
          <w:b/>
          <w:color w:val="0070C0"/>
          <w:sz w:val="24"/>
          <w:szCs w:val="24"/>
          <w:lang w:val="en-US"/>
        </w:rPr>
      </w:pPr>
    </w:p>
    <w:p w14:paraId="4421604F" w14:textId="5747A9A5" w:rsidR="009671C6" w:rsidRPr="00CF4276" w:rsidRDefault="009671C6" w:rsidP="006347D3">
      <w:pPr>
        <w:spacing w:after="0"/>
        <w:jc w:val="both"/>
        <w:rPr>
          <w:rFonts w:ascii="Garamond" w:hAnsi="Garamond" w:cstheme="minorHAnsi"/>
          <w:b/>
          <w:color w:val="0070C0"/>
          <w:sz w:val="24"/>
          <w:szCs w:val="24"/>
          <w:lang w:val="en-US"/>
        </w:rPr>
      </w:pPr>
    </w:p>
    <w:p w14:paraId="06844064" w14:textId="134AE3F9" w:rsidR="005169FF" w:rsidRPr="006347D3" w:rsidRDefault="00A90FC5" w:rsidP="006347D3">
      <w:pPr>
        <w:spacing w:after="0"/>
        <w:jc w:val="both"/>
        <w:rPr>
          <w:rFonts w:ascii="Garamond" w:hAnsi="Garamond" w:cstheme="minorHAnsi"/>
          <w:b/>
          <w:color w:val="0070C0"/>
          <w:sz w:val="24"/>
          <w:szCs w:val="24"/>
          <w:lang w:val="en-US"/>
        </w:rPr>
      </w:pPr>
      <w:r>
        <w:rPr>
          <w:rFonts w:ascii="Garamond" w:hAnsi="Garamond" w:cstheme="minorHAnsi"/>
          <w:b/>
          <w:color w:val="0070C0"/>
          <w:sz w:val="24"/>
          <w:szCs w:val="24"/>
          <w:lang w:val="en-US"/>
        </w:rPr>
        <w:t xml:space="preserve">A </w:t>
      </w:r>
      <w:proofErr w:type="spellStart"/>
      <w:r>
        <w:rPr>
          <w:rFonts w:ascii="Garamond" w:hAnsi="Garamond" w:cstheme="minorHAnsi"/>
          <w:b/>
          <w:color w:val="0070C0"/>
          <w:sz w:val="24"/>
          <w:szCs w:val="24"/>
          <w:lang w:val="en-US"/>
        </w:rPr>
        <w:t>propos</w:t>
      </w:r>
      <w:proofErr w:type="spellEnd"/>
      <w:r>
        <w:rPr>
          <w:rFonts w:ascii="Garamond" w:hAnsi="Garamond" w:cstheme="minorHAnsi"/>
          <w:b/>
          <w:color w:val="0070C0"/>
          <w:sz w:val="24"/>
          <w:szCs w:val="24"/>
          <w:lang w:val="en-US"/>
        </w:rPr>
        <w:t xml:space="preserve"> du</w:t>
      </w:r>
      <w:r w:rsidR="005169FF" w:rsidRPr="006347D3">
        <w:rPr>
          <w:rFonts w:ascii="Garamond" w:hAnsi="Garamond" w:cstheme="minorHAnsi"/>
          <w:b/>
          <w:color w:val="0070C0"/>
          <w:sz w:val="24"/>
          <w:szCs w:val="24"/>
          <w:lang w:val="en-US"/>
        </w:rPr>
        <w:t xml:space="preserve"> Policy Center for the New South</w:t>
      </w:r>
    </w:p>
    <w:p w14:paraId="1AA6DDAC" w14:textId="4E3B233C" w:rsidR="005169FF" w:rsidRPr="006347D3" w:rsidRDefault="005169FF" w:rsidP="006347D3">
      <w:pPr>
        <w:spacing w:after="0"/>
        <w:jc w:val="both"/>
        <w:rPr>
          <w:rFonts w:ascii="Garamond" w:hAnsi="Garamond" w:cstheme="minorHAnsi"/>
          <w:b/>
          <w:bCs/>
          <w:iCs/>
          <w:color w:val="222222"/>
          <w:sz w:val="24"/>
          <w:szCs w:val="24"/>
          <w:shd w:val="clear" w:color="auto" w:fill="FFFFFF"/>
        </w:rPr>
      </w:pPr>
      <w:r w:rsidRPr="006347D3">
        <w:rPr>
          <w:rFonts w:ascii="Garamond" w:hAnsi="Garamond" w:cstheme="minorHAnsi"/>
          <w:iCs/>
          <w:color w:val="222222"/>
          <w:sz w:val="24"/>
          <w:szCs w:val="24"/>
          <w:shd w:val="clear" w:color="auto" w:fill="FFFFFF"/>
        </w:rPr>
        <w:t xml:space="preserve">Le </w:t>
      </w:r>
      <w:hyperlink r:id="rId12" w:history="1">
        <w:r w:rsidRPr="006347D3">
          <w:rPr>
            <w:rStyle w:val="Lienhypertexte"/>
            <w:rFonts w:ascii="Garamond" w:hAnsi="Garamond" w:cstheme="minorHAnsi"/>
            <w:sz w:val="24"/>
            <w:szCs w:val="24"/>
            <w:shd w:val="clear" w:color="auto" w:fill="FFFFFF"/>
          </w:rPr>
          <w:t>Policy Center for the New South</w:t>
        </w:r>
      </w:hyperlink>
      <w:r w:rsidRPr="006347D3">
        <w:rPr>
          <w:rFonts w:ascii="Garamond" w:hAnsi="Garamond" w:cstheme="minorHAnsi"/>
          <w:iCs/>
          <w:color w:val="222222"/>
          <w:sz w:val="24"/>
          <w:szCs w:val="24"/>
          <w:shd w:val="clear" w:color="auto" w:fill="FFFFFF"/>
        </w:rPr>
        <w:t xml:space="preserve"> (PCNS) est un </w:t>
      </w:r>
      <w:proofErr w:type="spellStart"/>
      <w:r w:rsidRPr="006347D3">
        <w:rPr>
          <w:rFonts w:ascii="Garamond" w:hAnsi="Garamond" w:cstheme="minorHAnsi"/>
          <w:iCs/>
          <w:color w:val="222222"/>
          <w:sz w:val="24"/>
          <w:szCs w:val="24"/>
          <w:shd w:val="clear" w:color="auto" w:fill="FFFFFF"/>
        </w:rPr>
        <w:t>think</w:t>
      </w:r>
      <w:proofErr w:type="spellEnd"/>
      <w:r w:rsidRPr="006347D3">
        <w:rPr>
          <w:rFonts w:ascii="Garamond" w:hAnsi="Garamond" w:cstheme="minorHAnsi"/>
          <w:iCs/>
          <w:color w:val="222222"/>
          <w:sz w:val="24"/>
          <w:szCs w:val="24"/>
          <w:shd w:val="clear" w:color="auto" w:fill="FFFFFF"/>
        </w:rPr>
        <w:t xml:space="preserve"> tank marocain dont la mission est de contribuer à l’amélioration des politiques publiques, aussi bien économiques que sociales et internationales, qui concernent le Maroc et l’Afrique, parties intégrantes du Sud global. À ce titre, le PCNS mobilise des </w:t>
      </w:r>
      <w:hyperlink r:id="rId13" w:tgtFrame="_blank" w:history="1">
        <w:r w:rsidRPr="006347D3">
          <w:rPr>
            <w:rStyle w:val="Lienhypertexte"/>
            <w:rFonts w:ascii="Garamond" w:hAnsi="Garamond" w:cstheme="minorHAnsi"/>
            <w:sz w:val="24"/>
            <w:szCs w:val="24"/>
            <w:shd w:val="clear" w:color="auto" w:fill="FFFFFF"/>
          </w:rPr>
          <w:t>chercheurs</w:t>
        </w:r>
      </w:hyperlink>
      <w:r w:rsidRPr="006347D3">
        <w:rPr>
          <w:rFonts w:ascii="Garamond" w:hAnsi="Garamond" w:cstheme="minorHAnsi"/>
          <w:iCs/>
          <w:color w:val="222222"/>
          <w:sz w:val="24"/>
          <w:szCs w:val="24"/>
          <w:shd w:val="clear" w:color="auto" w:fill="FFFFFF"/>
        </w:rPr>
        <w:t>, </w:t>
      </w:r>
      <w:hyperlink r:id="rId14" w:tgtFrame="_blank" w:history="1">
        <w:r w:rsidRPr="006347D3">
          <w:rPr>
            <w:rStyle w:val="Lienhypertexte"/>
            <w:rFonts w:ascii="Garamond" w:hAnsi="Garamond" w:cstheme="minorHAnsi"/>
            <w:sz w:val="24"/>
            <w:szCs w:val="24"/>
            <w:shd w:val="clear" w:color="auto" w:fill="FFFFFF"/>
          </w:rPr>
          <w:t>publie leurs travaux</w:t>
        </w:r>
      </w:hyperlink>
      <w:r w:rsidRPr="006347D3">
        <w:rPr>
          <w:rFonts w:ascii="Garamond" w:hAnsi="Garamond" w:cstheme="minorHAnsi"/>
          <w:iCs/>
          <w:color w:val="222222"/>
          <w:sz w:val="24"/>
          <w:szCs w:val="24"/>
          <w:shd w:val="clear" w:color="auto" w:fill="FFFFFF"/>
        </w:rPr>
        <w:t> et capitalise sur un réseau de partenaires de renom, issus de tous les continents. Le PCNS organise tout au long de l'année une série de rencontres de formats et de niveaux différents, dont les plus importantes sont les conférences internationales annuelles «</w:t>
      </w:r>
      <w:r w:rsidRPr="006347D3">
        <w:rPr>
          <w:rFonts w:ascii="Garamond" w:hAnsi="Garamond" w:cstheme="minorHAnsi"/>
          <w:iCs/>
          <w:sz w:val="24"/>
          <w:szCs w:val="24"/>
          <w:shd w:val="clear" w:color="auto" w:fill="FFFFFF"/>
        </w:rPr>
        <w:t> </w:t>
      </w:r>
      <w:hyperlink r:id="rId15" w:history="1">
        <w:r w:rsidRPr="006347D3">
          <w:rPr>
            <w:rStyle w:val="Lienhypertexte"/>
            <w:rFonts w:ascii="Garamond" w:hAnsi="Garamond" w:cstheme="minorHAnsi"/>
            <w:sz w:val="24"/>
            <w:szCs w:val="24"/>
            <w:shd w:val="clear" w:color="auto" w:fill="FFFFFF"/>
          </w:rPr>
          <w:t>The Atlantic Dialogues </w:t>
        </w:r>
      </w:hyperlink>
      <w:bookmarkStart w:id="0" w:name="_Hlk184554388"/>
      <w:r w:rsidRPr="006347D3">
        <w:rPr>
          <w:rFonts w:ascii="Garamond" w:hAnsi="Garamond" w:cstheme="minorHAnsi"/>
          <w:iCs/>
          <w:color w:val="222222"/>
          <w:sz w:val="24"/>
          <w:szCs w:val="24"/>
          <w:shd w:val="clear" w:color="auto" w:fill="FFFFFF"/>
        </w:rPr>
        <w:t>»</w:t>
      </w:r>
      <w:bookmarkEnd w:id="0"/>
      <w:r w:rsidRPr="006347D3">
        <w:rPr>
          <w:rFonts w:ascii="Garamond" w:hAnsi="Garamond" w:cstheme="minorHAnsi"/>
          <w:iCs/>
          <w:color w:val="222222"/>
          <w:sz w:val="24"/>
          <w:szCs w:val="24"/>
          <w:shd w:val="clear" w:color="auto" w:fill="FFFFFF"/>
        </w:rPr>
        <w:t>, «</w:t>
      </w:r>
      <w:hyperlink r:id="rId16" w:history="1">
        <w:r w:rsidRPr="006347D3">
          <w:rPr>
            <w:rStyle w:val="Lienhypertexte"/>
            <w:rFonts w:ascii="Garamond" w:hAnsi="Garamond"/>
            <w:sz w:val="24"/>
            <w:szCs w:val="24"/>
          </w:rPr>
          <w:t xml:space="preserve">Africa </w:t>
        </w:r>
        <w:proofErr w:type="spellStart"/>
        <w:r w:rsidRPr="006347D3">
          <w:rPr>
            <w:rStyle w:val="Lienhypertexte"/>
            <w:rFonts w:ascii="Garamond" w:hAnsi="Garamond"/>
            <w:sz w:val="24"/>
            <w:szCs w:val="24"/>
          </w:rPr>
          <w:t>Economic</w:t>
        </w:r>
        <w:proofErr w:type="spellEnd"/>
        <w:r w:rsidRPr="006347D3">
          <w:rPr>
            <w:rStyle w:val="Lienhypertexte"/>
            <w:rFonts w:ascii="Garamond" w:hAnsi="Garamond"/>
            <w:sz w:val="24"/>
            <w:szCs w:val="24"/>
          </w:rPr>
          <w:t xml:space="preserve"> Symposium (AES</w:t>
        </w:r>
      </w:hyperlink>
      <w:r w:rsidRPr="006347D3">
        <w:rPr>
          <w:rStyle w:val="Lienhypertexte"/>
          <w:rFonts w:ascii="Garamond" w:hAnsi="Garamond"/>
          <w:sz w:val="24"/>
          <w:szCs w:val="24"/>
        </w:rPr>
        <w:t>)</w:t>
      </w:r>
      <w:r w:rsidRPr="006347D3">
        <w:rPr>
          <w:rFonts w:ascii="Garamond" w:hAnsi="Garamond" w:cstheme="minorHAnsi"/>
          <w:iCs/>
          <w:color w:val="222222"/>
          <w:sz w:val="24"/>
          <w:szCs w:val="24"/>
          <w:shd w:val="clear" w:color="auto" w:fill="FFFFFF"/>
        </w:rPr>
        <w:t xml:space="preserve"> »</w:t>
      </w:r>
      <w:r w:rsidRPr="006347D3">
        <w:rPr>
          <w:rFonts w:ascii="Garamond" w:hAnsi="Garamond" w:cstheme="minorHAnsi"/>
          <w:b/>
          <w:bCs/>
          <w:iCs/>
          <w:color w:val="222222"/>
          <w:sz w:val="24"/>
          <w:szCs w:val="24"/>
          <w:shd w:val="clear" w:color="auto" w:fill="FFFFFF"/>
        </w:rPr>
        <w:t> </w:t>
      </w:r>
      <w:r w:rsidRPr="006347D3">
        <w:rPr>
          <w:rFonts w:ascii="Garamond" w:hAnsi="Garamond" w:cstheme="minorHAnsi"/>
          <w:iCs/>
          <w:color w:val="222222"/>
          <w:sz w:val="24"/>
          <w:szCs w:val="24"/>
          <w:shd w:val="clear" w:color="auto" w:fill="FFFFFF"/>
        </w:rPr>
        <w:t xml:space="preserve"> et « </w:t>
      </w:r>
      <w:proofErr w:type="spellStart"/>
      <w:r w:rsidR="00360E50">
        <w:rPr>
          <w:rFonts w:ascii="Garamond" w:hAnsi="Garamond" w:cstheme="minorHAnsi"/>
          <w:sz w:val="24"/>
          <w:szCs w:val="24"/>
          <w:shd w:val="clear" w:color="auto" w:fill="FFFFFF"/>
        </w:rPr>
        <w:fldChar w:fldCharType="begin"/>
      </w:r>
      <w:r w:rsidR="00360E50">
        <w:rPr>
          <w:rFonts w:ascii="Garamond" w:hAnsi="Garamond" w:cstheme="minorHAnsi"/>
          <w:sz w:val="24"/>
          <w:szCs w:val="24"/>
          <w:shd w:val="clear" w:color="auto" w:fill="FFFFFF"/>
        </w:rPr>
        <w:instrText>HYPERLINK "https://www.policycenter.ma/events/african-peace-and-security-annual-conference-apsaco-9th-edition"</w:instrText>
      </w:r>
      <w:r w:rsidR="00360E50">
        <w:rPr>
          <w:rFonts w:ascii="Garamond" w:hAnsi="Garamond" w:cstheme="minorHAnsi"/>
          <w:sz w:val="24"/>
          <w:szCs w:val="24"/>
          <w:shd w:val="clear" w:color="auto" w:fill="FFFFFF"/>
        </w:rPr>
      </w:r>
      <w:r w:rsidR="00360E50">
        <w:rPr>
          <w:rFonts w:ascii="Garamond" w:hAnsi="Garamond" w:cstheme="minorHAnsi"/>
          <w:sz w:val="24"/>
          <w:szCs w:val="24"/>
          <w:shd w:val="clear" w:color="auto" w:fill="FFFFFF"/>
        </w:rPr>
        <w:fldChar w:fldCharType="separate"/>
      </w:r>
      <w:r w:rsidRPr="00360E50">
        <w:rPr>
          <w:rStyle w:val="Lienhypertexte"/>
          <w:rFonts w:ascii="Garamond" w:hAnsi="Garamond" w:cstheme="minorHAnsi"/>
          <w:sz w:val="24"/>
          <w:szCs w:val="24"/>
          <w:shd w:val="clear" w:color="auto" w:fill="FFFFFF"/>
        </w:rPr>
        <w:t>African</w:t>
      </w:r>
      <w:proofErr w:type="spellEnd"/>
      <w:r w:rsidRPr="00360E50">
        <w:rPr>
          <w:rStyle w:val="Lienhypertexte"/>
          <w:rFonts w:ascii="Garamond" w:hAnsi="Garamond" w:cstheme="minorHAnsi"/>
          <w:sz w:val="24"/>
          <w:szCs w:val="24"/>
          <w:shd w:val="clear" w:color="auto" w:fill="FFFFFF"/>
        </w:rPr>
        <w:t xml:space="preserve"> Peace and Security </w:t>
      </w:r>
      <w:proofErr w:type="spellStart"/>
      <w:r w:rsidRPr="00360E50">
        <w:rPr>
          <w:rStyle w:val="Lienhypertexte"/>
          <w:rFonts w:ascii="Garamond" w:hAnsi="Garamond" w:cstheme="minorHAnsi"/>
          <w:sz w:val="24"/>
          <w:szCs w:val="24"/>
          <w:shd w:val="clear" w:color="auto" w:fill="FFFFFF"/>
        </w:rPr>
        <w:t>Annual</w:t>
      </w:r>
      <w:proofErr w:type="spellEnd"/>
      <w:r w:rsidRPr="00360E50">
        <w:rPr>
          <w:rStyle w:val="Lienhypertexte"/>
          <w:rFonts w:ascii="Garamond" w:hAnsi="Garamond" w:cstheme="minorHAnsi"/>
          <w:sz w:val="24"/>
          <w:szCs w:val="24"/>
          <w:shd w:val="clear" w:color="auto" w:fill="FFFFFF"/>
        </w:rPr>
        <w:t xml:space="preserve"> </w:t>
      </w:r>
      <w:proofErr w:type="spellStart"/>
      <w:r w:rsidRPr="00360E50">
        <w:rPr>
          <w:rStyle w:val="Lienhypertexte"/>
          <w:rFonts w:ascii="Garamond" w:hAnsi="Garamond" w:cstheme="minorHAnsi"/>
          <w:sz w:val="24"/>
          <w:szCs w:val="24"/>
          <w:shd w:val="clear" w:color="auto" w:fill="FFFFFF"/>
        </w:rPr>
        <w:t>Conference</w:t>
      </w:r>
      <w:proofErr w:type="spellEnd"/>
      <w:r w:rsidRPr="00360E50">
        <w:rPr>
          <w:rStyle w:val="Lienhypertexte"/>
          <w:rFonts w:ascii="Garamond" w:hAnsi="Garamond" w:cstheme="minorHAnsi"/>
          <w:sz w:val="24"/>
          <w:szCs w:val="24"/>
          <w:shd w:val="clear" w:color="auto" w:fill="FFFFFF"/>
        </w:rPr>
        <w:t> </w:t>
      </w:r>
      <w:r w:rsidRPr="00360E50">
        <w:rPr>
          <w:rStyle w:val="Lienhypertexte"/>
          <w:rFonts w:ascii="Garamond" w:hAnsi="Garamond" w:cstheme="minorHAnsi"/>
          <w:iCs/>
          <w:sz w:val="24"/>
          <w:szCs w:val="24"/>
          <w:shd w:val="clear" w:color="auto" w:fill="FFFFFF"/>
        </w:rPr>
        <w:t xml:space="preserve"> (APSACO)</w:t>
      </w:r>
      <w:r w:rsidR="00360E50">
        <w:rPr>
          <w:rFonts w:ascii="Garamond" w:hAnsi="Garamond" w:cstheme="minorHAnsi"/>
          <w:sz w:val="24"/>
          <w:szCs w:val="24"/>
          <w:shd w:val="clear" w:color="auto" w:fill="FFFFFF"/>
        </w:rPr>
        <w:fldChar w:fldCharType="end"/>
      </w:r>
      <w:r w:rsidR="00922CB0" w:rsidRPr="00922CB0">
        <w:rPr>
          <w:rFonts w:ascii="Garamond" w:hAnsi="Garamond" w:cstheme="minorHAnsi"/>
          <w:iCs/>
          <w:color w:val="222222"/>
          <w:sz w:val="24"/>
          <w:szCs w:val="24"/>
          <w:shd w:val="clear" w:color="auto" w:fill="FFFFFF"/>
        </w:rPr>
        <w:t xml:space="preserve"> </w:t>
      </w:r>
      <w:r w:rsidR="00922CB0" w:rsidRPr="006347D3">
        <w:rPr>
          <w:rFonts w:ascii="Garamond" w:hAnsi="Garamond" w:cstheme="minorHAnsi"/>
          <w:iCs/>
          <w:color w:val="222222"/>
          <w:sz w:val="24"/>
          <w:szCs w:val="24"/>
          <w:shd w:val="clear" w:color="auto" w:fill="FFFFFF"/>
        </w:rPr>
        <w:t>»</w:t>
      </w:r>
      <w:r w:rsidRPr="006347D3">
        <w:rPr>
          <w:rFonts w:ascii="Garamond" w:hAnsi="Garamond" w:cstheme="minorHAnsi"/>
          <w:iCs/>
          <w:color w:val="222222"/>
          <w:sz w:val="24"/>
          <w:szCs w:val="24"/>
          <w:shd w:val="clear" w:color="auto" w:fill="FFFFFF"/>
        </w:rPr>
        <w:t xml:space="preserve">. </w:t>
      </w:r>
    </w:p>
    <w:p w14:paraId="0E92E2CF" w14:textId="77777777" w:rsidR="005169FF" w:rsidRPr="006347D3" w:rsidRDefault="005169FF" w:rsidP="006347D3">
      <w:pPr>
        <w:spacing w:after="0"/>
        <w:jc w:val="both"/>
        <w:rPr>
          <w:rFonts w:ascii="Garamond" w:hAnsi="Garamond" w:cstheme="minorHAnsi"/>
          <w:iCs/>
          <w:color w:val="222222"/>
          <w:sz w:val="24"/>
          <w:szCs w:val="24"/>
          <w:shd w:val="clear" w:color="auto" w:fill="FFFFFF"/>
        </w:rPr>
      </w:pPr>
    </w:p>
    <w:p w14:paraId="3413D214" w14:textId="77777777" w:rsidR="005169FF" w:rsidRPr="006347D3" w:rsidRDefault="005169FF" w:rsidP="006347D3">
      <w:pPr>
        <w:spacing w:after="0"/>
        <w:jc w:val="both"/>
        <w:rPr>
          <w:rFonts w:ascii="Garamond" w:hAnsi="Garamond" w:cstheme="minorHAnsi"/>
          <w:iCs/>
          <w:color w:val="222222"/>
          <w:sz w:val="24"/>
          <w:szCs w:val="24"/>
          <w:shd w:val="clear" w:color="auto" w:fill="FFFFFF"/>
        </w:rPr>
      </w:pPr>
      <w:hyperlink r:id="rId17" w:history="1">
        <w:r w:rsidRPr="006347D3">
          <w:rPr>
            <w:rStyle w:val="Lienhypertexte"/>
            <w:rFonts w:ascii="Garamond" w:hAnsi="Garamond" w:cstheme="minorHAnsi"/>
            <w:sz w:val="24"/>
            <w:szCs w:val="24"/>
            <w:shd w:val="clear" w:color="auto" w:fill="FFFFFF"/>
          </w:rPr>
          <w:t>www.policycenter.ma</w:t>
        </w:r>
      </w:hyperlink>
      <w:r w:rsidRPr="006347D3">
        <w:rPr>
          <w:rFonts w:ascii="Garamond" w:hAnsi="Garamond" w:cstheme="minorHAnsi"/>
          <w:iCs/>
          <w:color w:val="222222"/>
          <w:sz w:val="24"/>
          <w:szCs w:val="24"/>
          <w:shd w:val="clear" w:color="auto" w:fill="FFFFFF"/>
        </w:rPr>
        <w:t xml:space="preserve">  </w:t>
      </w:r>
    </w:p>
    <w:p w14:paraId="776F098D" w14:textId="77777777" w:rsidR="005169FF" w:rsidRPr="006347D3" w:rsidRDefault="005169FF" w:rsidP="006347D3">
      <w:pPr>
        <w:spacing w:after="0"/>
        <w:jc w:val="both"/>
        <w:rPr>
          <w:rFonts w:cstheme="minorHAnsi"/>
          <w:sz w:val="24"/>
          <w:szCs w:val="24"/>
        </w:rPr>
      </w:pPr>
      <w:r w:rsidRPr="006347D3">
        <w:rPr>
          <w:rFonts w:cstheme="minorHAnsi"/>
          <w:noProof/>
          <w:color w:val="222222"/>
          <w:sz w:val="24"/>
          <w:szCs w:val="24"/>
          <w:shd w:val="clear" w:color="auto" w:fill="FFFFFF"/>
          <w:lang w:eastAsia="fr-FR"/>
        </w:rPr>
        <w:drawing>
          <wp:inline distT="0" distB="0" distL="0" distR="0" wp14:anchorId="79CE6094" wp14:editId="7D5BFF6E">
            <wp:extent cx="228600" cy="228600"/>
            <wp:effectExtent l="0" t="0" r="0" b="0"/>
            <wp:docPr id="11" name="Image 11" descr="http://www.ocppc.ma/sites/all/themes/ocppc_en/ressources/images/bg_blocs/rs-fb.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cppc.ma/sites/all/themes/ocppc_en/ressources/images/bg_blocs/rs-fb.png">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347D3">
        <w:rPr>
          <w:rFonts w:cstheme="minorHAnsi"/>
          <w:color w:val="222222"/>
          <w:sz w:val="24"/>
          <w:szCs w:val="24"/>
          <w:shd w:val="clear" w:color="auto" w:fill="FFFFFF"/>
        </w:rPr>
        <w:t xml:space="preserve">   </w:t>
      </w:r>
      <w:r w:rsidRPr="006347D3">
        <w:rPr>
          <w:rFonts w:cstheme="minorHAnsi"/>
          <w:noProof/>
          <w:color w:val="222222"/>
          <w:sz w:val="24"/>
          <w:szCs w:val="24"/>
          <w:shd w:val="clear" w:color="auto" w:fill="FFFFFF"/>
          <w:lang w:eastAsia="fr-FR"/>
        </w:rPr>
        <w:drawing>
          <wp:inline distT="0" distB="0" distL="0" distR="0" wp14:anchorId="4D630DEE" wp14:editId="6C1A3DBF">
            <wp:extent cx="228600" cy="228600"/>
            <wp:effectExtent l="0" t="0" r="0" b="0"/>
            <wp:docPr id="10" name="Image 10" descr="http://www.ocppc.ma/sites/all/themes/ocppc_en/ressources/images/bg_blocs/icone%20Flicker.jp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cppc.ma/sites/all/themes/ocppc_en/ressources/images/bg_blocs/icone%20Flicker.jp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347D3">
        <w:rPr>
          <w:rFonts w:cstheme="minorHAnsi"/>
          <w:color w:val="222222"/>
          <w:sz w:val="24"/>
          <w:szCs w:val="24"/>
          <w:shd w:val="clear" w:color="auto" w:fill="FFFFFF"/>
        </w:rPr>
        <w:t xml:space="preserve">   </w:t>
      </w:r>
      <w:r w:rsidRPr="006347D3">
        <w:rPr>
          <w:rFonts w:cstheme="minorHAnsi"/>
          <w:noProof/>
          <w:color w:val="222222"/>
          <w:sz w:val="24"/>
          <w:szCs w:val="24"/>
          <w:shd w:val="clear" w:color="auto" w:fill="FFFFFF"/>
          <w:lang w:eastAsia="fr-FR"/>
        </w:rPr>
        <w:drawing>
          <wp:inline distT="0" distB="0" distL="0" distR="0" wp14:anchorId="45BFC3DE" wp14:editId="68CA02AC">
            <wp:extent cx="228600" cy="228600"/>
            <wp:effectExtent l="0" t="0" r="0" b="0"/>
            <wp:docPr id="9" name="Image 9" descr="http://www.ocppc.ma/sites/all/themes/ocppc_en/ressources/images/bg_blocs/rs-youtube.pn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ocppc.ma/sites/all/themes/ocppc_en/ressources/images/bg_blocs/rs-youtube.png">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347D3">
        <w:rPr>
          <w:rFonts w:cstheme="minorHAnsi"/>
          <w:color w:val="222222"/>
          <w:sz w:val="24"/>
          <w:szCs w:val="24"/>
          <w:shd w:val="clear" w:color="auto" w:fill="FFFFFF"/>
        </w:rPr>
        <w:t xml:space="preserve">   </w:t>
      </w:r>
      <w:r w:rsidRPr="006347D3">
        <w:rPr>
          <w:rFonts w:cstheme="minorHAnsi"/>
          <w:noProof/>
          <w:color w:val="222222"/>
          <w:sz w:val="24"/>
          <w:szCs w:val="24"/>
          <w:shd w:val="clear" w:color="auto" w:fill="FFFFFF"/>
          <w:lang w:eastAsia="fr-FR"/>
        </w:rPr>
        <w:drawing>
          <wp:inline distT="0" distB="0" distL="0" distR="0" wp14:anchorId="28D57753" wp14:editId="204F61C7">
            <wp:extent cx="228600" cy="228600"/>
            <wp:effectExtent l="0" t="0" r="0" b="0"/>
            <wp:docPr id="8" name="Image 8" descr="http://www.ocppc.ma/sites/all/themes/ocppc_en/ressources/images/bg_blocs/rs-tw.png">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ocppc.ma/sites/all/themes/ocppc_en/ressources/images/bg_blocs/rs-tw.png">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347D3">
        <w:rPr>
          <w:rFonts w:cstheme="minorHAnsi"/>
          <w:color w:val="222222"/>
          <w:sz w:val="24"/>
          <w:szCs w:val="24"/>
          <w:shd w:val="clear" w:color="auto" w:fill="FFFFFF"/>
        </w:rPr>
        <w:t xml:space="preserve">   </w:t>
      </w:r>
      <w:r w:rsidRPr="006347D3">
        <w:rPr>
          <w:rFonts w:cstheme="minorHAnsi"/>
          <w:noProof/>
          <w:color w:val="222222"/>
          <w:sz w:val="24"/>
          <w:szCs w:val="24"/>
          <w:shd w:val="clear" w:color="auto" w:fill="FFFFFF"/>
          <w:lang w:eastAsia="fr-FR"/>
        </w:rPr>
        <w:drawing>
          <wp:inline distT="0" distB="0" distL="0" distR="0" wp14:anchorId="2066D2BB" wp14:editId="23AF15B2">
            <wp:extent cx="228600" cy="228600"/>
            <wp:effectExtent l="0" t="0" r="0" b="0"/>
            <wp:docPr id="7" name="Image 7" descr="http://www.ocppc.ma/sites/all/themes/ocppc_en/ressources/images/bg_blocs/rs-in.png">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ocppc.ma/sites/all/themes/ocppc_en/ressources/images/bg_blocs/rs-in.png">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347D3">
        <w:rPr>
          <w:rFonts w:cstheme="minorHAnsi"/>
          <w:color w:val="222222"/>
          <w:sz w:val="24"/>
          <w:szCs w:val="24"/>
          <w:shd w:val="clear" w:color="auto" w:fill="FFFFFF"/>
        </w:rPr>
        <w:t xml:space="preserve">   </w:t>
      </w:r>
      <w:r w:rsidRPr="006347D3">
        <w:rPr>
          <w:rFonts w:cstheme="minorHAnsi"/>
          <w:noProof/>
          <w:color w:val="222222"/>
          <w:sz w:val="24"/>
          <w:szCs w:val="24"/>
          <w:shd w:val="clear" w:color="auto" w:fill="FFFFFF"/>
          <w:lang w:eastAsia="fr-FR"/>
        </w:rPr>
        <w:drawing>
          <wp:inline distT="0" distB="0" distL="0" distR="0" wp14:anchorId="0EE00544" wp14:editId="4336ACA3">
            <wp:extent cx="228600" cy="228600"/>
            <wp:effectExtent l="0" t="0" r="0" b="0"/>
            <wp:docPr id="4" name="Image 4" descr="http://www.ocppc.ma/sites/all/themes/ocppc_en/ressources/images/bg_blocs/rs-rss.png">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ocppc.ma/sites/all/themes/ocppc_en/ressources/images/bg_blocs/rs-rss.png">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347D3">
        <w:rPr>
          <w:rFonts w:cstheme="minorHAnsi"/>
          <w:color w:val="222222"/>
          <w:sz w:val="24"/>
          <w:szCs w:val="24"/>
          <w:shd w:val="clear" w:color="auto" w:fill="FFFFFF"/>
        </w:rPr>
        <w:t xml:space="preserve">   </w:t>
      </w:r>
      <w:r w:rsidRPr="006347D3">
        <w:rPr>
          <w:rFonts w:cstheme="minorHAnsi"/>
          <w:noProof/>
          <w:color w:val="222222"/>
          <w:sz w:val="24"/>
          <w:szCs w:val="24"/>
          <w:shd w:val="clear" w:color="auto" w:fill="FFFFFF"/>
          <w:lang w:eastAsia="fr-FR"/>
        </w:rPr>
        <w:drawing>
          <wp:inline distT="0" distB="0" distL="0" distR="0" wp14:anchorId="2389C621" wp14:editId="77829C74">
            <wp:extent cx="228600" cy="228600"/>
            <wp:effectExtent l="0" t="0" r="0" b="0"/>
            <wp:docPr id="5" name="Image 5" descr="http://www.ocppc.ma/sites/all/themes/ocppc_en/ressources/images/bg_blocs/rs-podcast.png">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ocppc.ma/sites/all/themes/ocppc_en/ressources/images/bg_blocs/rs-podcast.png">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347D3">
        <w:rPr>
          <w:rFonts w:cstheme="minorHAnsi"/>
          <w:color w:val="222222"/>
          <w:sz w:val="24"/>
          <w:szCs w:val="24"/>
          <w:shd w:val="clear" w:color="auto" w:fill="FFFFFF"/>
        </w:rPr>
        <w:t xml:space="preserve"> </w:t>
      </w:r>
    </w:p>
    <w:p w14:paraId="0BD83D2A" w14:textId="3E69487D" w:rsidR="006A4632" w:rsidRPr="006A4632" w:rsidRDefault="006A4632" w:rsidP="006A4632">
      <w:pPr>
        <w:tabs>
          <w:tab w:val="left" w:pos="7095"/>
        </w:tabs>
        <w:rPr>
          <w:rFonts w:ascii="Garamond" w:hAnsi="Garamond"/>
          <w:sz w:val="24"/>
          <w:szCs w:val="24"/>
        </w:rPr>
      </w:pPr>
    </w:p>
    <w:sectPr w:rsidR="006A4632" w:rsidRPr="006A4632" w:rsidSect="00A90FC5">
      <w:headerReference w:type="default" r:id="rId32"/>
      <w:footerReference w:type="default" r:id="rId33"/>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C78D7" w14:textId="77777777" w:rsidR="00DD1240" w:rsidRDefault="00DD1240" w:rsidP="007D36AA">
      <w:pPr>
        <w:spacing w:after="0" w:line="240" w:lineRule="auto"/>
      </w:pPr>
      <w:r>
        <w:separator/>
      </w:r>
    </w:p>
  </w:endnote>
  <w:endnote w:type="continuationSeparator" w:id="0">
    <w:p w14:paraId="14F7BC12" w14:textId="77777777" w:rsidR="00DD1240" w:rsidRDefault="00DD1240" w:rsidP="007D3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0DDB7" w14:textId="77777777" w:rsidR="005169FF" w:rsidRPr="006B14A8" w:rsidRDefault="005169FF" w:rsidP="005169FF">
    <w:pPr>
      <w:widowControl w:val="0"/>
      <w:autoSpaceDE w:val="0"/>
      <w:autoSpaceDN w:val="0"/>
      <w:adjustRightInd w:val="0"/>
      <w:spacing w:after="0"/>
      <w:rPr>
        <w:rFonts w:ascii="Garamond" w:hAnsi="Garamond" w:cs="Times New Roman"/>
        <w:b/>
        <w:bCs/>
        <w:color w:val="0A479E"/>
        <w:sz w:val="17"/>
        <w:szCs w:val="17"/>
        <w:lang w:val="en-US"/>
      </w:rPr>
    </w:pPr>
    <w:r w:rsidRPr="006B14A8">
      <w:rPr>
        <w:rFonts w:ascii="Garamond" w:hAnsi="Garamond" w:cs="Times New Roman"/>
        <w:b/>
        <w:bCs/>
        <w:color w:val="0A479E"/>
        <w:sz w:val="17"/>
        <w:szCs w:val="17"/>
        <w:lang w:val="en-US"/>
      </w:rPr>
      <w:t>Policy Center for the New South</w:t>
    </w:r>
  </w:p>
  <w:p w14:paraId="20D6710D" w14:textId="77777777" w:rsidR="005169FF" w:rsidRPr="006B14A8" w:rsidRDefault="005169FF" w:rsidP="005169FF">
    <w:pPr>
      <w:pStyle w:val="rtejustify"/>
      <w:shd w:val="clear" w:color="auto" w:fill="FFFFFF"/>
      <w:spacing w:before="0" w:beforeAutospacing="0" w:after="0" w:afterAutospacing="0" w:line="240" w:lineRule="atLeast"/>
      <w:rPr>
        <w:rFonts w:ascii="Garamond" w:eastAsiaTheme="minorHAnsi" w:hAnsi="Garamond"/>
        <w:color w:val="222222"/>
        <w:sz w:val="17"/>
        <w:szCs w:val="17"/>
        <w:lang w:val="en-US" w:eastAsia="en-US"/>
      </w:rPr>
    </w:pPr>
    <w:r w:rsidRPr="006B14A8">
      <w:rPr>
        <w:rFonts w:ascii="Garamond" w:eastAsiaTheme="minorHAnsi" w:hAnsi="Garamond"/>
        <w:color w:val="222222"/>
        <w:sz w:val="17"/>
        <w:szCs w:val="17"/>
        <w:lang w:val="en-US" w:eastAsia="en-US"/>
      </w:rPr>
      <w:t xml:space="preserve">Policy Center for the New South, Rabat Campus of Mohammed VI Polytechnic University </w:t>
    </w:r>
    <w:proofErr w:type="spellStart"/>
    <w:r w:rsidRPr="006B14A8">
      <w:rPr>
        <w:rFonts w:ascii="Garamond" w:eastAsiaTheme="minorHAnsi" w:hAnsi="Garamond"/>
        <w:color w:val="222222"/>
        <w:sz w:val="17"/>
        <w:szCs w:val="17"/>
        <w:lang w:val="en-US" w:eastAsia="en-US"/>
      </w:rPr>
      <w:t>Rocade</w:t>
    </w:r>
    <w:proofErr w:type="spellEnd"/>
    <w:r w:rsidRPr="006B14A8">
      <w:rPr>
        <w:rFonts w:ascii="Garamond" w:eastAsiaTheme="minorHAnsi" w:hAnsi="Garamond"/>
        <w:color w:val="222222"/>
        <w:sz w:val="17"/>
        <w:szCs w:val="17"/>
        <w:lang w:val="en-US" w:eastAsia="en-US"/>
      </w:rPr>
      <w:t xml:space="preserve"> Rabat </w:t>
    </w:r>
    <w:proofErr w:type="spellStart"/>
    <w:r w:rsidRPr="006B14A8">
      <w:rPr>
        <w:rFonts w:ascii="Garamond" w:eastAsiaTheme="minorHAnsi" w:hAnsi="Garamond"/>
        <w:color w:val="222222"/>
        <w:sz w:val="17"/>
        <w:szCs w:val="17"/>
        <w:lang w:val="en-US" w:eastAsia="en-US"/>
      </w:rPr>
      <w:t>Salé</w:t>
    </w:r>
    <w:proofErr w:type="spellEnd"/>
    <w:r w:rsidRPr="006B14A8">
      <w:rPr>
        <w:rFonts w:ascii="Garamond" w:eastAsiaTheme="minorHAnsi" w:hAnsi="Garamond"/>
        <w:color w:val="222222"/>
        <w:sz w:val="17"/>
        <w:szCs w:val="17"/>
        <w:lang w:val="en-US" w:eastAsia="en-US"/>
      </w:rPr>
      <w:t xml:space="preserve"> 11103 Morocco</w:t>
    </w:r>
  </w:p>
  <w:p w14:paraId="1086EDFA" w14:textId="491A0B07" w:rsidR="005169FF" w:rsidRPr="006B14A8" w:rsidRDefault="005169FF" w:rsidP="005169FF">
    <w:pPr>
      <w:widowControl w:val="0"/>
      <w:autoSpaceDE w:val="0"/>
      <w:autoSpaceDN w:val="0"/>
      <w:adjustRightInd w:val="0"/>
      <w:spacing w:after="0"/>
      <w:rPr>
        <w:rFonts w:ascii="Garamond" w:hAnsi="Garamond"/>
        <w:color w:val="000000" w:themeColor="text1"/>
        <w:sz w:val="17"/>
        <w:szCs w:val="17"/>
        <w:u w:val="single"/>
      </w:rPr>
    </w:pPr>
    <w:proofErr w:type="gramStart"/>
    <w:r w:rsidRPr="006B14A8">
      <w:rPr>
        <w:rFonts w:ascii="Garamond" w:hAnsi="Garamond" w:cs="Times New Roman"/>
        <w:color w:val="222222"/>
        <w:sz w:val="17"/>
        <w:szCs w:val="17"/>
      </w:rPr>
      <w:t>Phone:</w:t>
    </w:r>
    <w:proofErr w:type="gramEnd"/>
    <w:r w:rsidRPr="006B14A8">
      <w:rPr>
        <w:rFonts w:ascii="Garamond" w:hAnsi="Garamond" w:cs="Times New Roman"/>
        <w:color w:val="222222"/>
        <w:sz w:val="17"/>
        <w:szCs w:val="17"/>
      </w:rPr>
      <w:t xml:space="preserve"> + 212 (0) 5 37 54 04 04</w:t>
    </w:r>
    <w:r w:rsidR="00C14B42" w:rsidRPr="006B14A8">
      <w:rPr>
        <w:rFonts w:ascii="Garamond" w:hAnsi="Garamond" w:cs="Times New Roman"/>
        <w:color w:val="222222"/>
        <w:sz w:val="17"/>
        <w:szCs w:val="17"/>
      </w:rPr>
      <w:t xml:space="preserve"> </w:t>
    </w:r>
    <w:r w:rsidRPr="006B14A8">
      <w:rPr>
        <w:rFonts w:ascii="Garamond" w:hAnsi="Garamond" w:cs="Times New Roman"/>
        <w:color w:val="222222"/>
        <w:sz w:val="17"/>
        <w:szCs w:val="17"/>
      </w:rPr>
      <w:t xml:space="preserve">– </w:t>
    </w:r>
    <w:proofErr w:type="gramStart"/>
    <w:r w:rsidRPr="006B14A8">
      <w:rPr>
        <w:rFonts w:ascii="Garamond" w:hAnsi="Garamond" w:cs="Times New Roman"/>
        <w:color w:val="222222"/>
        <w:sz w:val="17"/>
        <w:szCs w:val="17"/>
      </w:rPr>
      <w:t>E-mail:</w:t>
    </w:r>
    <w:proofErr w:type="gramEnd"/>
    <w:r w:rsidRPr="006B14A8">
      <w:rPr>
        <w:rFonts w:ascii="Garamond" w:hAnsi="Garamond" w:cs="Times New Roman"/>
        <w:color w:val="222222"/>
        <w:sz w:val="17"/>
        <w:szCs w:val="17"/>
      </w:rPr>
      <w:t xml:space="preserve"> contact@policycenter.ma -</w:t>
    </w:r>
    <w:hyperlink r:id="rId1" w:history="1">
      <w:r w:rsidRPr="006B14A8">
        <w:rPr>
          <w:rStyle w:val="Lienhypertexte"/>
          <w:rFonts w:ascii="Garamond" w:hAnsi="Garamond"/>
          <w:color w:val="000000" w:themeColor="text1"/>
          <w:sz w:val="17"/>
          <w:szCs w:val="17"/>
        </w:rPr>
        <w:t>www.policycenter.ma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44A7A" w14:textId="77777777" w:rsidR="00DD1240" w:rsidRDefault="00DD1240" w:rsidP="007D36AA">
      <w:pPr>
        <w:spacing w:after="0" w:line="240" w:lineRule="auto"/>
      </w:pPr>
      <w:r>
        <w:separator/>
      </w:r>
    </w:p>
  </w:footnote>
  <w:footnote w:type="continuationSeparator" w:id="0">
    <w:p w14:paraId="2B9A55E0" w14:textId="77777777" w:rsidR="00DD1240" w:rsidRDefault="00DD1240" w:rsidP="007D3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0C19" w14:textId="4493E8DD" w:rsidR="007D36AA" w:rsidRPr="007D36AA" w:rsidRDefault="007D36AA" w:rsidP="007D36AA">
    <w:pPr>
      <w:pStyle w:val="En-tte"/>
    </w:pPr>
    <w:r>
      <w:rPr>
        <w:noProof/>
      </w:rPr>
      <w:drawing>
        <wp:anchor distT="0" distB="0" distL="114300" distR="114300" simplePos="0" relativeHeight="251658240" behindDoc="0" locked="0" layoutInCell="1" allowOverlap="1" wp14:anchorId="79594CDC" wp14:editId="38A69CD1">
          <wp:simplePos x="0" y="0"/>
          <wp:positionH relativeFrom="column">
            <wp:posOffset>-163195</wp:posOffset>
          </wp:positionH>
          <wp:positionV relativeFrom="paragraph">
            <wp:posOffset>-259080</wp:posOffset>
          </wp:positionV>
          <wp:extent cx="1953816" cy="571500"/>
          <wp:effectExtent l="0" t="0" r="8890" b="0"/>
          <wp:wrapNone/>
          <wp:docPr id="917138658" name="Image 1" descr="Une image contenant texte, capture d’écran,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746339" name="Image 1" descr="Une image contenant texte, capture d’écran, Police, Graphique&#10;&#10;Le contenu généré par l’IA peut être incorrect."/>
                  <pic:cNvPicPr/>
                </pic:nvPicPr>
                <pic:blipFill rotWithShape="1">
                  <a:blip r:embed="rId1">
                    <a:extLst>
                      <a:ext uri="{28A0092B-C50C-407E-A947-70E740481C1C}">
                        <a14:useLocalDpi xmlns:a14="http://schemas.microsoft.com/office/drawing/2010/main" val="0"/>
                      </a:ext>
                    </a:extLst>
                  </a:blip>
                  <a:srcRect l="19070" t="37070" r="20634" b="34551"/>
                  <a:stretch>
                    <a:fillRect/>
                  </a:stretch>
                </pic:blipFill>
                <pic:spPr bwMode="auto">
                  <a:xfrm>
                    <a:off x="0" y="0"/>
                    <a:ext cx="1953816" cy="571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04B"/>
    <w:rsid w:val="00040D08"/>
    <w:rsid w:val="0004710C"/>
    <w:rsid w:val="0005786E"/>
    <w:rsid w:val="0008443E"/>
    <w:rsid w:val="00093CA3"/>
    <w:rsid w:val="000947C4"/>
    <w:rsid w:val="00097855"/>
    <w:rsid w:val="000D44FE"/>
    <w:rsid w:val="00136C4B"/>
    <w:rsid w:val="00137721"/>
    <w:rsid w:val="0015591F"/>
    <w:rsid w:val="00155DA4"/>
    <w:rsid w:val="001573D0"/>
    <w:rsid w:val="00167BB7"/>
    <w:rsid w:val="00171F2E"/>
    <w:rsid w:val="001E62D4"/>
    <w:rsid w:val="00204DBC"/>
    <w:rsid w:val="002103FD"/>
    <w:rsid w:val="0021255D"/>
    <w:rsid w:val="00217515"/>
    <w:rsid w:val="00220F60"/>
    <w:rsid w:val="00222F0D"/>
    <w:rsid w:val="0025611E"/>
    <w:rsid w:val="0027127A"/>
    <w:rsid w:val="002B3A14"/>
    <w:rsid w:val="002B4236"/>
    <w:rsid w:val="002C2DAB"/>
    <w:rsid w:val="003008A1"/>
    <w:rsid w:val="00303934"/>
    <w:rsid w:val="00316D58"/>
    <w:rsid w:val="00332EA1"/>
    <w:rsid w:val="00333975"/>
    <w:rsid w:val="0034246D"/>
    <w:rsid w:val="0034513B"/>
    <w:rsid w:val="00360E50"/>
    <w:rsid w:val="00373B44"/>
    <w:rsid w:val="00382E03"/>
    <w:rsid w:val="00391B44"/>
    <w:rsid w:val="00401EAE"/>
    <w:rsid w:val="0040680B"/>
    <w:rsid w:val="004165F5"/>
    <w:rsid w:val="004341B8"/>
    <w:rsid w:val="00446C24"/>
    <w:rsid w:val="00471871"/>
    <w:rsid w:val="00497304"/>
    <w:rsid w:val="004B7358"/>
    <w:rsid w:val="004F3C6A"/>
    <w:rsid w:val="005169FF"/>
    <w:rsid w:val="005C07C1"/>
    <w:rsid w:val="005D768F"/>
    <w:rsid w:val="006347D3"/>
    <w:rsid w:val="006372E9"/>
    <w:rsid w:val="006A4632"/>
    <w:rsid w:val="006B0BF4"/>
    <w:rsid w:val="006B14A8"/>
    <w:rsid w:val="00711654"/>
    <w:rsid w:val="00760B46"/>
    <w:rsid w:val="007656F3"/>
    <w:rsid w:val="007B4602"/>
    <w:rsid w:val="007C0BCE"/>
    <w:rsid w:val="007D33BB"/>
    <w:rsid w:val="007D36AA"/>
    <w:rsid w:val="0081578C"/>
    <w:rsid w:val="00891138"/>
    <w:rsid w:val="008B2237"/>
    <w:rsid w:val="008B7661"/>
    <w:rsid w:val="008E2A52"/>
    <w:rsid w:val="008E3AD1"/>
    <w:rsid w:val="00922CB0"/>
    <w:rsid w:val="00925F2C"/>
    <w:rsid w:val="00943AA5"/>
    <w:rsid w:val="0094714C"/>
    <w:rsid w:val="00962C4D"/>
    <w:rsid w:val="009671C6"/>
    <w:rsid w:val="009771A1"/>
    <w:rsid w:val="0099302E"/>
    <w:rsid w:val="009953E0"/>
    <w:rsid w:val="009D43DA"/>
    <w:rsid w:val="009D6F85"/>
    <w:rsid w:val="009E0F06"/>
    <w:rsid w:val="00A02109"/>
    <w:rsid w:val="00A03E5B"/>
    <w:rsid w:val="00A365FA"/>
    <w:rsid w:val="00A63E6E"/>
    <w:rsid w:val="00A645A9"/>
    <w:rsid w:val="00A72D8E"/>
    <w:rsid w:val="00A90FC5"/>
    <w:rsid w:val="00AD7146"/>
    <w:rsid w:val="00AE1731"/>
    <w:rsid w:val="00B335A3"/>
    <w:rsid w:val="00B42FF0"/>
    <w:rsid w:val="00BC0C5F"/>
    <w:rsid w:val="00BD5B16"/>
    <w:rsid w:val="00BF4901"/>
    <w:rsid w:val="00BF7136"/>
    <w:rsid w:val="00C14B42"/>
    <w:rsid w:val="00C25DB2"/>
    <w:rsid w:val="00C520B6"/>
    <w:rsid w:val="00C60F77"/>
    <w:rsid w:val="00C7277D"/>
    <w:rsid w:val="00C9119B"/>
    <w:rsid w:val="00C93DBC"/>
    <w:rsid w:val="00CB26C5"/>
    <w:rsid w:val="00CC5059"/>
    <w:rsid w:val="00CD4236"/>
    <w:rsid w:val="00CF2C1F"/>
    <w:rsid w:val="00CF4276"/>
    <w:rsid w:val="00D02077"/>
    <w:rsid w:val="00D66E20"/>
    <w:rsid w:val="00D72293"/>
    <w:rsid w:val="00D81518"/>
    <w:rsid w:val="00DA08B1"/>
    <w:rsid w:val="00DB7FD3"/>
    <w:rsid w:val="00DD1240"/>
    <w:rsid w:val="00DD474C"/>
    <w:rsid w:val="00DD571C"/>
    <w:rsid w:val="00DD6CB9"/>
    <w:rsid w:val="00DE28D7"/>
    <w:rsid w:val="00DF016F"/>
    <w:rsid w:val="00E15C1F"/>
    <w:rsid w:val="00E6004B"/>
    <w:rsid w:val="00E713C4"/>
    <w:rsid w:val="00E75207"/>
    <w:rsid w:val="00E976D7"/>
    <w:rsid w:val="00EE59C6"/>
    <w:rsid w:val="00EF496B"/>
    <w:rsid w:val="00EF5D89"/>
    <w:rsid w:val="00EF77EA"/>
    <w:rsid w:val="00F97F0B"/>
    <w:rsid w:val="00FA5551"/>
    <w:rsid w:val="00FF2158"/>
    <w:rsid w:val="00FF403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AF173"/>
  <w15:chartTrackingRefBased/>
  <w15:docId w15:val="{85E432AC-1584-4203-A4EC-F5599506A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14C"/>
  </w:style>
  <w:style w:type="paragraph" w:styleId="Titre1">
    <w:name w:val="heading 1"/>
    <w:basedOn w:val="Normal"/>
    <w:next w:val="Normal"/>
    <w:link w:val="Titre1Car"/>
    <w:uiPriority w:val="9"/>
    <w:qFormat/>
    <w:rsid w:val="00E600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600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6004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6004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6004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6004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6004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6004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6004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6004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6004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6004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6004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6004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6004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6004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6004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6004B"/>
    <w:rPr>
      <w:rFonts w:eastAsiaTheme="majorEastAsia" w:cstheme="majorBidi"/>
      <w:color w:val="272727" w:themeColor="text1" w:themeTint="D8"/>
    </w:rPr>
  </w:style>
  <w:style w:type="paragraph" w:styleId="Titre">
    <w:name w:val="Title"/>
    <w:basedOn w:val="Normal"/>
    <w:next w:val="Normal"/>
    <w:link w:val="TitreCar"/>
    <w:uiPriority w:val="10"/>
    <w:qFormat/>
    <w:rsid w:val="00E600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6004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6004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6004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6004B"/>
    <w:pPr>
      <w:spacing w:before="160"/>
      <w:jc w:val="center"/>
    </w:pPr>
    <w:rPr>
      <w:i/>
      <w:iCs/>
      <w:color w:val="404040" w:themeColor="text1" w:themeTint="BF"/>
    </w:rPr>
  </w:style>
  <w:style w:type="character" w:customStyle="1" w:styleId="CitationCar">
    <w:name w:val="Citation Car"/>
    <w:basedOn w:val="Policepardfaut"/>
    <w:link w:val="Citation"/>
    <w:uiPriority w:val="29"/>
    <w:rsid w:val="00E6004B"/>
    <w:rPr>
      <w:i/>
      <w:iCs/>
      <w:color w:val="404040" w:themeColor="text1" w:themeTint="BF"/>
    </w:rPr>
  </w:style>
  <w:style w:type="paragraph" w:styleId="Paragraphedeliste">
    <w:name w:val="List Paragraph"/>
    <w:basedOn w:val="Normal"/>
    <w:uiPriority w:val="34"/>
    <w:qFormat/>
    <w:rsid w:val="00E6004B"/>
    <w:pPr>
      <w:ind w:left="720"/>
      <w:contextualSpacing/>
    </w:pPr>
  </w:style>
  <w:style w:type="character" w:styleId="Accentuationintense">
    <w:name w:val="Intense Emphasis"/>
    <w:basedOn w:val="Policepardfaut"/>
    <w:uiPriority w:val="21"/>
    <w:qFormat/>
    <w:rsid w:val="00E6004B"/>
    <w:rPr>
      <w:i/>
      <w:iCs/>
      <w:color w:val="0F4761" w:themeColor="accent1" w:themeShade="BF"/>
    </w:rPr>
  </w:style>
  <w:style w:type="paragraph" w:styleId="Citationintense">
    <w:name w:val="Intense Quote"/>
    <w:basedOn w:val="Normal"/>
    <w:next w:val="Normal"/>
    <w:link w:val="CitationintenseCar"/>
    <w:uiPriority w:val="30"/>
    <w:qFormat/>
    <w:rsid w:val="00E600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6004B"/>
    <w:rPr>
      <w:i/>
      <w:iCs/>
      <w:color w:val="0F4761" w:themeColor="accent1" w:themeShade="BF"/>
    </w:rPr>
  </w:style>
  <w:style w:type="character" w:styleId="Rfrenceintense">
    <w:name w:val="Intense Reference"/>
    <w:basedOn w:val="Policepardfaut"/>
    <w:uiPriority w:val="32"/>
    <w:qFormat/>
    <w:rsid w:val="00E6004B"/>
    <w:rPr>
      <w:b/>
      <w:bCs/>
      <w:smallCaps/>
      <w:color w:val="0F4761" w:themeColor="accent1" w:themeShade="BF"/>
      <w:spacing w:val="5"/>
    </w:rPr>
  </w:style>
  <w:style w:type="character" w:styleId="Lienhypertexte">
    <w:name w:val="Hyperlink"/>
    <w:basedOn w:val="Policepardfaut"/>
    <w:uiPriority w:val="99"/>
    <w:unhideWhenUsed/>
    <w:rsid w:val="00DE28D7"/>
    <w:rPr>
      <w:color w:val="467886" w:themeColor="hyperlink"/>
      <w:u w:val="single"/>
    </w:rPr>
  </w:style>
  <w:style w:type="character" w:styleId="Mentionnonrsolue">
    <w:name w:val="Unresolved Mention"/>
    <w:basedOn w:val="Policepardfaut"/>
    <w:uiPriority w:val="99"/>
    <w:semiHidden/>
    <w:unhideWhenUsed/>
    <w:rsid w:val="00DE28D7"/>
    <w:rPr>
      <w:color w:val="605E5C"/>
      <w:shd w:val="clear" w:color="auto" w:fill="E1DFDD"/>
    </w:rPr>
  </w:style>
  <w:style w:type="paragraph" w:styleId="Rvision">
    <w:name w:val="Revision"/>
    <w:hidden/>
    <w:uiPriority w:val="99"/>
    <w:semiHidden/>
    <w:rsid w:val="002C2DAB"/>
    <w:pPr>
      <w:spacing w:after="0" w:line="240" w:lineRule="auto"/>
    </w:pPr>
  </w:style>
  <w:style w:type="character" w:styleId="Lienhypertextesuivivisit">
    <w:name w:val="FollowedHyperlink"/>
    <w:basedOn w:val="Policepardfaut"/>
    <w:uiPriority w:val="99"/>
    <w:semiHidden/>
    <w:unhideWhenUsed/>
    <w:rsid w:val="002103FD"/>
    <w:rPr>
      <w:color w:val="96607D" w:themeColor="followedHyperlink"/>
      <w:u w:val="single"/>
    </w:rPr>
  </w:style>
  <w:style w:type="paragraph" w:styleId="En-tte">
    <w:name w:val="header"/>
    <w:basedOn w:val="Normal"/>
    <w:link w:val="En-tteCar"/>
    <w:uiPriority w:val="99"/>
    <w:unhideWhenUsed/>
    <w:rsid w:val="007D36AA"/>
    <w:pPr>
      <w:tabs>
        <w:tab w:val="center" w:pos="4536"/>
        <w:tab w:val="right" w:pos="9072"/>
      </w:tabs>
      <w:spacing w:after="0" w:line="240" w:lineRule="auto"/>
    </w:pPr>
  </w:style>
  <w:style w:type="character" w:customStyle="1" w:styleId="En-tteCar">
    <w:name w:val="En-tête Car"/>
    <w:basedOn w:val="Policepardfaut"/>
    <w:link w:val="En-tte"/>
    <w:uiPriority w:val="99"/>
    <w:rsid w:val="007D36AA"/>
  </w:style>
  <w:style w:type="paragraph" w:styleId="Pieddepage">
    <w:name w:val="footer"/>
    <w:basedOn w:val="Normal"/>
    <w:link w:val="PieddepageCar"/>
    <w:uiPriority w:val="99"/>
    <w:unhideWhenUsed/>
    <w:rsid w:val="007D36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36AA"/>
  </w:style>
  <w:style w:type="paragraph" w:customStyle="1" w:styleId="rtejustify">
    <w:name w:val="rtejustify"/>
    <w:basedOn w:val="Normal"/>
    <w:rsid w:val="005169FF"/>
    <w:pPr>
      <w:spacing w:before="100" w:beforeAutospacing="1" w:after="100" w:afterAutospacing="1" w:line="240" w:lineRule="auto"/>
    </w:pPr>
    <w:rPr>
      <w:rFonts w:ascii="Times New Roman" w:eastAsia="Times New Roman" w:hAnsi="Times New Roman" w:cs="Times New Roman"/>
      <w:kern w:val="0"/>
      <w:sz w:val="24"/>
      <w:szCs w:val="24"/>
      <w:lang w:val="fr-MA"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licycenter.ma/experts" TargetMode="External"/><Relationship Id="rId18" Type="http://schemas.openxmlformats.org/officeDocument/2006/relationships/hyperlink" Target="https://www.facebook.com/OCPPOLICYCENTER" TargetMode="External"/><Relationship Id="rId26" Type="http://schemas.openxmlformats.org/officeDocument/2006/relationships/hyperlink" Target="https://www.linkedin.com/company/ocp-policy-center?trk=nav_account_sub_nav_company_admin" TargetMode="External"/><Relationship Id="rId3" Type="http://schemas.openxmlformats.org/officeDocument/2006/relationships/settings" Target="settings.xml"/><Relationship Id="rId21" Type="http://schemas.openxmlformats.org/officeDocument/2006/relationships/image" Target="media/image2.jpeg"/><Relationship Id="rId34" Type="http://schemas.openxmlformats.org/officeDocument/2006/relationships/fontTable" Target="fontTable.xml"/><Relationship Id="rId7" Type="http://schemas.openxmlformats.org/officeDocument/2006/relationships/hyperlink" Target="https://www.policycenter.ma/oxford-handbook-economy-morocco" TargetMode="External"/><Relationship Id="rId12" Type="http://schemas.openxmlformats.org/officeDocument/2006/relationships/hyperlink" Target="https://www.policycenter.ma/" TargetMode="External"/><Relationship Id="rId17" Type="http://schemas.openxmlformats.org/officeDocument/2006/relationships/hyperlink" Target="http://www.policycenter.ma" TargetMode="External"/><Relationship Id="rId25" Type="http://schemas.openxmlformats.org/officeDocument/2006/relationships/image" Target="media/image4.pn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policycenter.ma/events/africa-economic-symposium-aes-3rd-edition-bold-moves-amid-global-shifts" TargetMode="External"/><Relationship Id="rId20" Type="http://schemas.openxmlformats.org/officeDocument/2006/relationships/hyperlink" Target="https://www.flickr.com/photos/142333681@N04/albums"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jellal@policycenter.ma" TargetMode="External"/><Relationship Id="rId24" Type="http://schemas.openxmlformats.org/officeDocument/2006/relationships/hyperlink" Target="https://twitter.com/OCPPolicyCenter"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ad.policycenter.ma/" TargetMode="External"/><Relationship Id="rId23" Type="http://schemas.openxmlformats.org/officeDocument/2006/relationships/image" Target="media/image3.png"/><Relationship Id="rId28" Type="http://schemas.openxmlformats.org/officeDocument/2006/relationships/hyperlink" Target="http://www.ocppc.ma/rss-feeds" TargetMode="External"/><Relationship Id="rId10" Type="http://schemas.openxmlformats.org/officeDocument/2006/relationships/hyperlink" Target="mailto:h.tadili@policycenter.ma" TargetMode="External"/><Relationship Id="rId19" Type="http://schemas.openxmlformats.org/officeDocument/2006/relationships/image" Target="media/image1.png"/><Relationship Id="rId31"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s://www.policycenter.ma/expertexterne/arkebe-oqubay-metiku" TargetMode="External"/><Relationship Id="rId14" Type="http://schemas.openxmlformats.org/officeDocument/2006/relationships/hyperlink" Target="http://www.policycenter.ma/publications/year/2019" TargetMode="External"/><Relationship Id="rId22" Type="http://schemas.openxmlformats.org/officeDocument/2006/relationships/hyperlink" Target="https://www.youtube.com/user/OCPPOLICYCENTER" TargetMode="External"/><Relationship Id="rId27" Type="http://schemas.openxmlformats.org/officeDocument/2006/relationships/image" Target="media/image5.png"/><Relationship Id="rId30" Type="http://schemas.openxmlformats.org/officeDocument/2006/relationships/hyperlink" Target="https://itunes.apple.com/pk/podcast/ocp-policy-center-briefings/id980603945?mt=2" TargetMode="External"/><Relationship Id="rId35" Type="http://schemas.openxmlformats.org/officeDocument/2006/relationships/theme" Target="theme/theme1.xml"/><Relationship Id="rId8" Type="http://schemas.openxmlformats.org/officeDocument/2006/relationships/hyperlink" Target="https://www.policycenter.ma/experts/el-aynaoui"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olicycenter.m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D6717-B2F0-473E-846D-916A1317C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1467</Words>
  <Characters>8526</Characters>
  <Application>Microsoft Office Word</Application>
  <DocSecurity>0</DocSecurity>
  <Lines>135</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 Saoudi</dc:creator>
  <cp:keywords/>
  <dc:description/>
  <cp:lastModifiedBy>Alae Jellal</cp:lastModifiedBy>
  <cp:revision>2</cp:revision>
  <cp:lastPrinted>2026-04-02T13:33:00Z</cp:lastPrinted>
  <dcterms:created xsi:type="dcterms:W3CDTF">2026-04-03T12:00:00Z</dcterms:created>
  <dcterms:modified xsi:type="dcterms:W3CDTF">2026-04-03T12:00:00Z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c2254c5b-09b7-4830-98fe-b726afa0b4fe</vt:lpwstr>
  </property>
</Properties>
</file>